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6.8.0.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1" name=""/>
                  <wp:cNvGraphicFramePr/>
                  <a:graphic xmlns:a="http://schemas.openxmlformats.org/drawingml/2006/main">
                    <a:graphicData uri="http://schemas.openxmlformats.org/drawingml/2006/picture">
                      <pic:pic xmlns:pic="http://schemas.openxmlformats.org/drawingml/2006/picture">
                        <pic:nvPicPr>
                          <pic:cNvPr id="821172435" name=""/>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2" name=""/>
                  <wp:cNvGraphicFramePr/>
                  <a:graphic xmlns:a="http://schemas.openxmlformats.org/drawingml/2006/main">
                    <a:graphicData uri="http://schemas.openxmlformats.org/drawingml/2006/picture">
                      <pic:pic xmlns:pic="http://schemas.openxmlformats.org/drawingml/2006/picture">
                        <pic:nvPicPr>
                          <pic:cNvPr id="1296025903" name=""/>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и храните.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3.1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19/09/2016 - 11:20:18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"_Toc256000000"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12</w:t>
      </w:r>
      <w:r>
        <w:fldChar w:fldCharType="end"/>
      </w:r>
      <w:r>
        <w:fldChar w:fldCharType="end"/>
      </w:r>
    </w:p>
    <w:p>
      <w:pPr>
        <w:pStyle w:val="TOC2"/>
        <w:rPr>
          <w:rFonts w:ascii="Calibri" w:hAnsi="Calibri"/>
          <w:noProof/>
          <w:sz w:val="22"/>
        </w:rPr>
      </w:pPr>
      <w:r>
        <w:fldChar w:fldCharType="begin"/>
      </w:r>
      <w:r>
        <w:instrText xml:space="preserve"> HYPERLINK \l "_Toc256000001" </w:instrText>
      </w:r>
      <w:r>
        <w:fldChar w:fldCharType="separate"/>
      </w:r>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"_Toc256000002" </w:instrText>
      </w:r>
      <w:r>
        <w:fldChar w:fldCharType="separate"/>
      </w:r>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"_Toc256000003" </w:instrText>
      </w:r>
      <w:r>
        <w:fldChar w:fldCharType="separate"/>
      </w:r>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"_Toc256000004" </w:instrText>
      </w:r>
      <w:r>
        <w:fldChar w:fldCharType="separate"/>
      </w:r>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"_Toc256000005" </w:instrText>
      </w:r>
      <w:r>
        <w:fldChar w:fldCharType="separate"/>
      </w:r>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"_Toc256000006" </w:instrText>
      </w:r>
      <w:r>
        <w:fldChar w:fldCharType="separate"/>
      </w:r>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"_Toc256000007"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26</w:t>
      </w:r>
      <w:r>
        <w:fldChar w:fldCharType="end"/>
      </w:r>
      <w:r>
        <w:fldChar w:fldCharType="end"/>
      </w:r>
    </w:p>
    <w:p>
      <w:pPr>
        <w:pStyle w:val="TOC2"/>
        <w:rPr>
          <w:rFonts w:ascii="Calibri" w:hAnsi="Calibri"/>
          <w:noProof/>
          <w:sz w:val="22"/>
        </w:rPr>
      </w:pPr>
      <w:r>
        <w:fldChar w:fldCharType="begin"/>
      </w:r>
      <w:r>
        <w:instrText xml:space="preserve"> HYPERLINK \l "_Toc256000008"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26</w:t>
      </w:r>
      <w:r>
        <w:fldChar w:fldCharType="end"/>
      </w:r>
      <w:r>
        <w:fldChar w:fldCharType="end"/>
      </w:r>
    </w:p>
    <w:p>
      <w:pPr>
        <w:pStyle w:val="TOC2"/>
        <w:rPr>
          <w:rFonts w:ascii="Calibri" w:hAnsi="Calibri"/>
          <w:noProof/>
          <w:sz w:val="22"/>
        </w:rPr>
      </w:pPr>
      <w:r>
        <w:fldChar w:fldCharType="begin"/>
      </w:r>
      <w:r>
        <w:instrText xml:space="preserve"> HYPERLINK \l "_Toc256000009"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26</w:t>
      </w:r>
      <w:r>
        <w:fldChar w:fldCharType="end"/>
      </w:r>
      <w:r>
        <w:fldChar w:fldCharType="end"/>
      </w:r>
    </w:p>
    <w:p>
      <w:pPr>
        <w:pStyle w:val="TOC1"/>
        <w:rPr>
          <w:rFonts w:ascii="Calibri" w:hAnsi="Calibri"/>
          <w:noProof/>
          <w:sz w:val="22"/>
        </w:rPr>
      </w:pPr>
      <w:r>
        <w:fldChar w:fldCharType="begin"/>
      </w:r>
      <w:r>
        <w:instrText xml:space="preserve"> HYPERLINK \l "_Toc256000010"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27</w:t>
      </w:r>
      <w:r>
        <w:fldChar w:fldCharType="end"/>
      </w:r>
      <w:r>
        <w:fldChar w:fldCharType="end"/>
      </w:r>
    </w:p>
    <w:p>
      <w:pPr>
        <w:pStyle w:val="TOC2"/>
        <w:rPr>
          <w:rFonts w:ascii="Calibri" w:hAnsi="Calibri"/>
          <w:noProof/>
          <w:sz w:val="22"/>
        </w:rPr>
      </w:pPr>
      <w:r>
        <w:fldChar w:fldCharType="begin"/>
      </w:r>
      <w:r>
        <w:instrText xml:space="preserve"> HYPERLINK \l "_Toc256000011"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27</w:t>
      </w:r>
      <w:r>
        <w:fldChar w:fldCharType="end"/>
      </w:r>
      <w:r>
        <w:fldChar w:fldCharType="end"/>
      </w:r>
    </w:p>
    <w:p>
      <w:pPr>
        <w:pStyle w:val="TOC2"/>
        <w:rPr>
          <w:rFonts w:ascii="Calibri" w:hAnsi="Calibri"/>
          <w:noProof/>
          <w:sz w:val="22"/>
        </w:rPr>
      </w:pPr>
      <w:r>
        <w:fldChar w:fldCharType="begin"/>
      </w:r>
      <w:r>
        <w:instrText xml:space="preserve"> HYPERLINK \l "_Toc256000012"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"_Toc256000013"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"_Toc256000014"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"_Toc256000015"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"_Toc256000016"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"_Toc256000017"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32</w:t>
      </w:r>
      <w:r>
        <w:fldChar w:fldCharType="end"/>
      </w:r>
      <w:r>
        <w:fldChar w:fldCharType="end"/>
      </w:r>
    </w:p>
    <w:p>
      <w:pPr>
        <w:pStyle w:val="TOC3"/>
        <w:rPr>
          <w:rFonts w:ascii="Calibri" w:hAnsi="Calibri"/>
          <w:noProof/>
          <w:sz w:val="22"/>
        </w:rPr>
      </w:pPr>
      <w:r>
        <w:fldChar w:fldCharType="begin"/>
      </w:r>
      <w:r>
        <w:instrText xml:space="preserve"> HYPERLINK \l "_Toc256000018"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32</w:t>
      </w:r>
      <w:r>
        <w:fldChar w:fldCharType="end"/>
      </w:r>
      <w:r>
        <w:fldChar w:fldCharType="end"/>
      </w:r>
    </w:p>
    <w:p>
      <w:pPr>
        <w:pStyle w:val="TOC3"/>
        <w:rPr>
          <w:rFonts w:ascii="Calibri" w:hAnsi="Calibri"/>
          <w:noProof/>
          <w:sz w:val="22"/>
        </w:rPr>
      </w:pPr>
      <w:r>
        <w:fldChar w:fldCharType="begin"/>
      </w:r>
      <w:r>
        <w:instrText xml:space="preserve"> HYPERLINK \l "_Toc256000019"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"_Toc256000020"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"_Toc256000021"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"_Toc256000022"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"_Toc256000023"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35</w:t>
      </w:r>
      <w:r>
        <w:fldChar w:fldCharType="end"/>
      </w:r>
      <w:r>
        <w:fldChar w:fldCharType="end"/>
      </w:r>
    </w:p>
    <w:p>
      <w:pPr>
        <w:pStyle w:val="TOC3"/>
        <w:rPr>
          <w:rFonts w:ascii="Calibri" w:hAnsi="Calibri"/>
          <w:noProof/>
          <w:sz w:val="22"/>
        </w:rPr>
      </w:pPr>
      <w:r>
        <w:fldChar w:fldCharType="begin"/>
      </w:r>
      <w:r>
        <w:instrText xml:space="preserve"> HYPERLINK \l "_Toc256000024"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"_Toc256000025"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"_Toc256000026"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"_Toc256000027"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"_Toc256000028"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"_Toc256000029"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"_Toc256000030"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"_Toc256000031"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"_Toc256000032"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"_Toc256000033"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40</w:t>
      </w:r>
      <w:r>
        <w:fldChar w:fldCharType="end"/>
      </w:r>
      <w:r>
        <w:fldChar w:fldCharType="end"/>
      </w:r>
    </w:p>
    <w:p>
      <w:pPr>
        <w:pStyle w:val="TOC3"/>
        <w:rPr>
          <w:rFonts w:ascii="Calibri" w:hAnsi="Calibri"/>
          <w:noProof/>
          <w:sz w:val="22"/>
        </w:rPr>
      </w:pPr>
      <w:r>
        <w:fldChar w:fldCharType="begin"/>
      </w:r>
      <w:r>
        <w:instrText xml:space="preserve"> HYPERLINK \l "_Toc256000034"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40</w:t>
      </w:r>
      <w:r>
        <w:fldChar w:fldCharType="end"/>
      </w:r>
      <w:r>
        <w:fldChar w:fldCharType="end"/>
      </w:r>
    </w:p>
    <w:p>
      <w:pPr>
        <w:pStyle w:val="TOC3"/>
        <w:rPr>
          <w:rFonts w:ascii="Calibri" w:hAnsi="Calibri"/>
          <w:noProof/>
          <w:sz w:val="22"/>
        </w:rPr>
      </w:pPr>
      <w:r>
        <w:fldChar w:fldCharType="begin"/>
      </w:r>
      <w:r>
        <w:instrText xml:space="preserve"> HYPERLINK \l "_Toc256000035"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"_Toc256000036"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41</w:t>
      </w:r>
      <w:r>
        <w:fldChar w:fldCharType="end"/>
      </w:r>
      <w:r>
        <w:fldChar w:fldCharType="end"/>
      </w:r>
    </w:p>
    <w:p>
      <w:pPr>
        <w:pStyle w:val="TOC2"/>
        <w:rPr>
          <w:rFonts w:ascii="Calibri" w:hAnsi="Calibri"/>
          <w:noProof/>
          <w:sz w:val="22"/>
        </w:rPr>
      </w:pPr>
      <w:r>
        <w:fldChar w:fldCharType="begin"/>
      </w:r>
      <w:r>
        <w:instrText xml:space="preserve"> HYPERLINK \l "_Toc256000037"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42</w:t>
      </w:r>
      <w:r>
        <w:fldChar w:fldCharType="end"/>
      </w:r>
      <w:r>
        <w:fldChar w:fldCharType="end"/>
      </w:r>
    </w:p>
    <w:p>
      <w:pPr>
        <w:pStyle w:val="TOC1"/>
        <w:rPr>
          <w:rFonts w:ascii="Calibri" w:hAnsi="Calibri"/>
          <w:noProof/>
          <w:sz w:val="22"/>
        </w:rPr>
      </w:pPr>
      <w:r>
        <w:fldChar w:fldCharType="begin"/>
      </w:r>
      <w:r>
        <w:instrText xml:space="preserve"> HYPERLINK \l "_Toc256000038"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43</w:t>
      </w:r>
      <w:r>
        <w:fldChar w:fldCharType="end"/>
      </w:r>
      <w:r>
        <w:fldChar w:fldCharType="end"/>
      </w:r>
    </w:p>
    <w:p>
      <w:pPr>
        <w:pStyle w:val="TOC2"/>
        <w:rPr>
          <w:rFonts w:ascii="Calibri" w:hAnsi="Calibri"/>
          <w:noProof/>
          <w:sz w:val="22"/>
        </w:rPr>
      </w:pPr>
      <w:r>
        <w:fldChar w:fldCharType="begin"/>
      </w:r>
      <w:r>
        <w:instrText xml:space="preserve"> HYPERLINK \l "_Toc256000039"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"_Toc256000040"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"_Toc256000041"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55</w:t>
      </w:r>
      <w:r>
        <w:fldChar w:fldCharType="end"/>
      </w:r>
      <w:r>
        <w:fldChar w:fldCharType="end"/>
      </w:r>
    </w:p>
    <w:p>
      <w:pPr>
        <w:pStyle w:val="TOC3"/>
        <w:rPr>
          <w:rFonts w:ascii="Calibri" w:hAnsi="Calibri"/>
          <w:noProof/>
          <w:sz w:val="22"/>
        </w:rPr>
      </w:pPr>
      <w:r>
        <w:fldChar w:fldCharType="begin"/>
      </w:r>
      <w:r>
        <w:instrText xml:space="preserve"> HYPERLINK \l "_Toc256000042"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57</w:t>
      </w:r>
      <w:r>
        <w:fldChar w:fldCharType="end"/>
      </w:r>
      <w:r>
        <w:fldChar w:fldCharType="end"/>
      </w:r>
    </w:p>
    <w:p>
      <w:pPr>
        <w:pStyle w:val="TOC3"/>
        <w:rPr>
          <w:rFonts w:ascii="Calibri" w:hAnsi="Calibri"/>
          <w:noProof/>
          <w:sz w:val="22"/>
        </w:rPr>
      </w:pPr>
      <w:r>
        <w:fldChar w:fldCharType="begin"/>
      </w:r>
      <w:r>
        <w:instrText xml:space="preserve"> HYPERLINK \l "_Toc256000043"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59</w:t>
      </w:r>
      <w:r>
        <w:fldChar w:fldCharType="end"/>
      </w:r>
      <w:r>
        <w:fldChar w:fldCharType="end"/>
      </w:r>
    </w:p>
    <w:p>
      <w:pPr>
        <w:pStyle w:val="TOC3"/>
        <w:rPr>
          <w:rFonts w:ascii="Calibri" w:hAnsi="Calibri"/>
          <w:noProof/>
          <w:sz w:val="22"/>
        </w:rPr>
      </w:pPr>
      <w:r>
        <w:fldChar w:fldCharType="begin"/>
      </w:r>
      <w:r>
        <w:instrText xml:space="preserve"> HYPERLINK \l "_Toc256000044"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60</w:t>
      </w:r>
      <w:r>
        <w:fldChar w:fldCharType="end"/>
      </w:r>
      <w:r>
        <w:fldChar w:fldCharType="end"/>
      </w:r>
    </w:p>
    <w:p>
      <w:pPr>
        <w:pStyle w:val="TOC3"/>
        <w:rPr>
          <w:rFonts w:ascii="Calibri" w:hAnsi="Calibri"/>
          <w:noProof/>
          <w:sz w:val="22"/>
        </w:rPr>
      </w:pPr>
      <w:r>
        <w:fldChar w:fldCharType="begin"/>
      </w:r>
      <w:r>
        <w:instrText xml:space="preserve"> HYPERLINK \l "_Toc256000045"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62</w:t>
      </w:r>
      <w:r>
        <w:fldChar w:fldCharType="end"/>
      </w:r>
      <w:r>
        <w:fldChar w:fldCharType="end"/>
      </w:r>
    </w:p>
    <w:p>
      <w:pPr>
        <w:pStyle w:val="TOC3"/>
        <w:rPr>
          <w:rFonts w:ascii="Calibri" w:hAnsi="Calibri"/>
          <w:noProof/>
          <w:sz w:val="22"/>
        </w:rPr>
      </w:pPr>
      <w:r>
        <w:fldChar w:fldCharType="begin"/>
      </w:r>
      <w:r>
        <w:instrText xml:space="preserve"> HYPERLINK \l "_Toc256000046"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70</w:t>
      </w:r>
      <w:r>
        <w:fldChar w:fldCharType="end"/>
      </w:r>
      <w:r>
        <w:fldChar w:fldCharType="end"/>
      </w:r>
    </w:p>
    <w:p>
      <w:pPr>
        <w:pStyle w:val="TOC2"/>
        <w:rPr>
          <w:rFonts w:ascii="Calibri" w:hAnsi="Calibri"/>
          <w:noProof/>
          <w:sz w:val="22"/>
        </w:rPr>
      </w:pPr>
      <w:r>
        <w:fldChar w:fldCharType="begin"/>
      </w:r>
      <w:r>
        <w:instrText xml:space="preserve"> HYPERLINK \l "_Toc256000047"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71</w:t>
      </w:r>
      <w:r>
        <w:fldChar w:fldCharType="end"/>
      </w:r>
      <w:r>
        <w:fldChar w:fldCharType="end"/>
      </w:r>
    </w:p>
    <w:p>
      <w:pPr>
        <w:pStyle w:val="TOC3"/>
        <w:rPr>
          <w:rFonts w:ascii="Calibri" w:hAnsi="Calibri"/>
          <w:noProof/>
          <w:sz w:val="22"/>
        </w:rPr>
      </w:pPr>
      <w:r>
        <w:fldChar w:fldCharType="begin"/>
      </w:r>
      <w:r>
        <w:instrText xml:space="preserve"> HYPERLINK \l "_Toc256000048"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75</w:t>
      </w:r>
      <w:r>
        <w:fldChar w:fldCharType="end"/>
      </w:r>
      <w:r>
        <w:fldChar w:fldCharType="end"/>
      </w:r>
    </w:p>
    <w:p>
      <w:pPr>
        <w:pStyle w:val="TOC3"/>
        <w:rPr>
          <w:rFonts w:ascii="Calibri" w:hAnsi="Calibri"/>
          <w:noProof/>
          <w:sz w:val="22"/>
        </w:rPr>
      </w:pPr>
      <w:r>
        <w:fldChar w:fldCharType="begin"/>
      </w:r>
      <w:r>
        <w:instrText xml:space="preserve"> HYPERLINK \l "_Toc256000049"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"_Toc256000050"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"_Toc256000051"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"_Toc256000052"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"_Toc256000053"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81</w:t>
      </w:r>
      <w:r>
        <w:fldChar w:fldCharType="end"/>
      </w:r>
      <w:r>
        <w:fldChar w:fldCharType="end"/>
      </w:r>
    </w:p>
    <w:p>
      <w:pPr>
        <w:pStyle w:val="TOC3"/>
        <w:rPr>
          <w:rFonts w:ascii="Calibri" w:hAnsi="Calibri"/>
          <w:noProof/>
          <w:sz w:val="22"/>
        </w:rPr>
      </w:pPr>
      <w:r>
        <w:fldChar w:fldCharType="begin"/>
      </w:r>
      <w:r>
        <w:instrText xml:space="preserve"> HYPERLINK \l "_Toc256000054"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"_Toc256000055"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"_Toc256000056"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"_Toc256000057"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"_Toc256000058"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"_Toc256000059"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"_Toc256000060"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"_Toc256000061"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"_Toc256000062"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"_Toc256000063"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"_Toc256000064"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"_Toc256000065"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"_Toc256000066"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92</w:t>
      </w:r>
      <w:r>
        <w:fldChar w:fldCharType="end"/>
      </w:r>
      <w:r>
        <w:fldChar w:fldCharType="end"/>
      </w:r>
    </w:p>
    <w:p>
      <w:pPr>
        <w:pStyle w:val="TOC3"/>
        <w:rPr>
          <w:rFonts w:ascii="Calibri" w:hAnsi="Calibri"/>
          <w:noProof/>
          <w:sz w:val="22"/>
        </w:rPr>
      </w:pPr>
      <w:r>
        <w:fldChar w:fldCharType="begin"/>
      </w:r>
      <w:r>
        <w:instrText xml:space="preserve"> HYPERLINK \l "_Toc256000067"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"_Toc256000068"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"_Toc256000069"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"_Toc256000070"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"_Toc256000071"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"_Toc256000072"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96</w:t>
      </w:r>
      <w:r>
        <w:fldChar w:fldCharType="end"/>
      </w:r>
      <w:r>
        <w:fldChar w:fldCharType="end"/>
      </w:r>
    </w:p>
    <w:p>
      <w:pPr>
        <w:pStyle w:val="TOC3"/>
        <w:rPr>
          <w:rFonts w:ascii="Calibri" w:hAnsi="Calibri"/>
          <w:noProof/>
          <w:sz w:val="22"/>
        </w:rPr>
      </w:pPr>
      <w:r>
        <w:fldChar w:fldCharType="begin"/>
      </w:r>
      <w:r>
        <w:instrText xml:space="preserve"> HYPERLINK \l "_Toc256000073"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97</w:t>
      </w:r>
      <w:r>
        <w:fldChar w:fldCharType="end"/>
      </w:r>
      <w:r>
        <w:fldChar w:fldCharType="end"/>
      </w:r>
    </w:p>
    <w:p>
      <w:pPr>
        <w:pStyle w:val="TOC3"/>
        <w:rPr>
          <w:rFonts w:ascii="Calibri" w:hAnsi="Calibri"/>
          <w:noProof/>
          <w:sz w:val="22"/>
        </w:rPr>
      </w:pPr>
      <w:r>
        <w:fldChar w:fldCharType="begin"/>
      </w:r>
      <w:r>
        <w:instrText xml:space="preserve"> HYPERLINK \l "_Toc256000074"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97</w:t>
      </w:r>
      <w:r>
        <w:fldChar w:fldCharType="end"/>
      </w:r>
      <w:r>
        <w:fldChar w:fldCharType="end"/>
      </w:r>
    </w:p>
    <w:p>
      <w:pPr>
        <w:pStyle w:val="TOC3"/>
        <w:rPr>
          <w:rFonts w:ascii="Calibri" w:hAnsi="Calibri"/>
          <w:noProof/>
          <w:sz w:val="22"/>
        </w:rPr>
      </w:pPr>
      <w:r>
        <w:fldChar w:fldCharType="begin"/>
      </w:r>
      <w:r>
        <w:instrText xml:space="preserve"> HYPERLINK \l "_Toc256000075"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98</w:t>
      </w:r>
      <w:r>
        <w:fldChar w:fldCharType="end"/>
      </w:r>
      <w:r>
        <w:fldChar w:fldCharType="end"/>
      </w:r>
    </w:p>
    <w:p>
      <w:pPr>
        <w:pStyle w:val="TOC3"/>
        <w:rPr>
          <w:rFonts w:ascii="Calibri" w:hAnsi="Calibri"/>
          <w:noProof/>
          <w:sz w:val="22"/>
        </w:rPr>
      </w:pPr>
      <w:r>
        <w:fldChar w:fldCharType="begin"/>
      </w:r>
      <w:r>
        <w:instrText xml:space="preserve"> HYPERLINK \l "_Toc256000076"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"_Toc256000077"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"_Toc256000078"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"_Toc256000079"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"_Toc256000080"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101</w:t>
      </w:r>
      <w:r>
        <w:fldChar w:fldCharType="end"/>
      </w:r>
      <w:r>
        <w:fldChar w:fldCharType="end"/>
      </w:r>
    </w:p>
    <w:p>
      <w:pPr>
        <w:pStyle w:val="TOC3"/>
        <w:rPr>
          <w:rFonts w:ascii="Calibri" w:hAnsi="Calibri"/>
          <w:noProof/>
          <w:sz w:val="22"/>
        </w:rPr>
      </w:pPr>
      <w:r>
        <w:fldChar w:fldCharType="begin"/>
      </w:r>
      <w:r>
        <w:instrText xml:space="preserve"> HYPERLINK \l "_Toc256000081"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"_Toc256000082"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"_Toc256000083"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"_Toc256000084"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"_Toc256000085"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"_Toc256000086"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"_Toc256000087"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105</w:t>
      </w:r>
      <w:r>
        <w:fldChar w:fldCharType="end"/>
      </w:r>
      <w:r>
        <w:fldChar w:fldCharType="end"/>
      </w:r>
    </w:p>
    <w:p>
      <w:pPr>
        <w:pStyle w:val="TOC1"/>
        <w:rPr>
          <w:rFonts w:ascii="Calibri" w:hAnsi="Calibri"/>
          <w:noProof/>
          <w:sz w:val="22"/>
        </w:rPr>
      </w:pPr>
      <w:r>
        <w:fldChar w:fldCharType="begin"/>
      </w:r>
      <w:r>
        <w:instrText xml:space="preserve"> HYPERLINK \l "_Toc256000088"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107</w:t>
      </w:r>
      <w:r>
        <w:fldChar w:fldCharType="end"/>
      </w:r>
      <w:r>
        <w:fldChar w:fldCharType="end"/>
      </w:r>
    </w:p>
    <w:p>
      <w:pPr>
        <w:pStyle w:val="TOC2"/>
        <w:rPr>
          <w:rFonts w:ascii="Calibri" w:hAnsi="Calibri"/>
          <w:noProof/>
          <w:sz w:val="22"/>
        </w:rPr>
      </w:pPr>
      <w:r>
        <w:fldChar w:fldCharType="begin"/>
      </w:r>
      <w:r>
        <w:instrText xml:space="preserve"> HYPERLINK \l "_Toc256000089"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107</w:t>
      </w:r>
      <w:r>
        <w:fldChar w:fldCharType="end"/>
      </w:r>
      <w:r>
        <w:fldChar w:fldCharType="end"/>
      </w:r>
    </w:p>
    <w:p>
      <w:pPr>
        <w:pStyle w:val="TOC2"/>
        <w:rPr>
          <w:rFonts w:ascii="Calibri" w:hAnsi="Calibri"/>
          <w:noProof/>
          <w:sz w:val="22"/>
        </w:rPr>
      </w:pPr>
      <w:r>
        <w:fldChar w:fldCharType="begin"/>
      </w:r>
      <w:r>
        <w:instrText xml:space="preserve"> HYPERLINK \l "_Toc256000090"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113</w:t>
      </w:r>
      <w:r>
        <w:fldChar w:fldCharType="end"/>
      </w:r>
      <w:r>
        <w:fldChar w:fldCharType="end"/>
      </w:r>
    </w:p>
    <w:p>
      <w:pPr>
        <w:pStyle w:val="TOC3"/>
        <w:rPr>
          <w:rFonts w:ascii="Calibri" w:hAnsi="Calibri"/>
          <w:noProof/>
          <w:sz w:val="22"/>
        </w:rPr>
      </w:pPr>
      <w:r>
        <w:fldChar w:fldCharType="begin"/>
      </w:r>
      <w:r>
        <w:instrText xml:space="preserve"> HYPERLINK \l "_Toc256000091"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113</w:t>
      </w:r>
      <w:r>
        <w:fldChar w:fldCharType="end"/>
      </w:r>
      <w:r>
        <w:fldChar w:fldCharType="end"/>
      </w:r>
    </w:p>
    <w:p>
      <w:pPr>
        <w:pStyle w:val="TOC3"/>
        <w:rPr>
          <w:rFonts w:ascii="Calibri" w:hAnsi="Calibri"/>
          <w:noProof/>
          <w:sz w:val="22"/>
        </w:rPr>
      </w:pPr>
      <w:r>
        <w:fldChar w:fldCharType="begin"/>
      </w:r>
      <w:r>
        <w:instrText xml:space="preserve"> HYPERLINK \l "_Toc256000092"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114</w:t>
      </w:r>
      <w:r>
        <w:fldChar w:fldCharType="end"/>
      </w:r>
      <w:r>
        <w:fldChar w:fldCharType="end"/>
      </w:r>
    </w:p>
    <w:p>
      <w:pPr>
        <w:pStyle w:val="TOC3"/>
        <w:rPr>
          <w:rFonts w:ascii="Calibri" w:hAnsi="Calibri"/>
          <w:noProof/>
          <w:sz w:val="22"/>
        </w:rPr>
      </w:pPr>
      <w:r>
        <w:fldChar w:fldCharType="begin"/>
      </w:r>
      <w:r>
        <w:instrText xml:space="preserve"> HYPERLINK \l "_Toc256000093"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116</w:t>
      </w:r>
      <w:r>
        <w:fldChar w:fldCharType="end"/>
      </w:r>
      <w:r>
        <w:fldChar w:fldCharType="end"/>
      </w:r>
    </w:p>
    <w:p>
      <w:pPr>
        <w:pStyle w:val="TOC3"/>
        <w:rPr>
          <w:rFonts w:ascii="Calibri" w:hAnsi="Calibri"/>
          <w:noProof/>
          <w:sz w:val="22"/>
        </w:rPr>
      </w:pPr>
      <w:r>
        <w:fldChar w:fldCharType="begin"/>
      </w:r>
      <w:r>
        <w:instrText xml:space="preserve"> HYPERLINK \l "_Toc256000094"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118</w:t>
      </w:r>
      <w:r>
        <w:fldChar w:fldCharType="end"/>
      </w:r>
      <w:r>
        <w:fldChar w:fldCharType="end"/>
      </w:r>
    </w:p>
    <w:p>
      <w:pPr>
        <w:pStyle w:val="TOC3"/>
        <w:rPr>
          <w:rFonts w:ascii="Calibri" w:hAnsi="Calibri"/>
          <w:noProof/>
          <w:sz w:val="22"/>
        </w:rPr>
      </w:pPr>
      <w:r>
        <w:fldChar w:fldCharType="begin"/>
      </w:r>
      <w:r>
        <w:instrText xml:space="preserve"> HYPERLINK \l "_Toc256000095"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122</w:t>
      </w:r>
      <w:r>
        <w:fldChar w:fldCharType="end"/>
      </w:r>
      <w:r>
        <w:fldChar w:fldCharType="end"/>
      </w:r>
    </w:p>
    <w:p>
      <w:pPr>
        <w:pStyle w:val="TOC3"/>
        <w:rPr>
          <w:rFonts w:ascii="Calibri" w:hAnsi="Calibri"/>
          <w:noProof/>
          <w:sz w:val="22"/>
        </w:rPr>
      </w:pPr>
      <w:r>
        <w:fldChar w:fldCharType="begin"/>
      </w:r>
      <w:r>
        <w:instrText xml:space="preserve"> HYPERLINK \l "_Toc256000096"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126</w:t>
      </w:r>
      <w:r>
        <w:fldChar w:fldCharType="end"/>
      </w:r>
      <w:r>
        <w:fldChar w:fldCharType="end"/>
      </w:r>
    </w:p>
    <w:p>
      <w:pPr>
        <w:pStyle w:val="TOC2"/>
        <w:rPr>
          <w:rFonts w:ascii="Calibri" w:hAnsi="Calibri"/>
          <w:noProof/>
          <w:sz w:val="22"/>
        </w:rPr>
      </w:pPr>
      <w:r>
        <w:fldChar w:fldCharType="begin"/>
      </w:r>
      <w:r>
        <w:instrText xml:space="preserve"> HYPERLINK \l "_Toc256000097"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129</w:t>
      </w:r>
      <w:r>
        <w:fldChar w:fldCharType="end"/>
      </w:r>
      <w:r>
        <w:fldChar w:fldCharType="end"/>
      </w:r>
    </w:p>
    <w:p>
      <w:pPr>
        <w:pStyle w:val="TOC2"/>
        <w:rPr>
          <w:rFonts w:ascii="Calibri" w:hAnsi="Calibri"/>
          <w:noProof/>
          <w:sz w:val="22"/>
        </w:rPr>
      </w:pPr>
      <w:r>
        <w:fldChar w:fldCharType="begin"/>
      </w:r>
      <w:r>
        <w:instrText xml:space="preserve"> HYPERLINK \l "_Toc256000098"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132</w:t>
      </w:r>
      <w:r>
        <w:fldChar w:fldCharType="end"/>
      </w:r>
      <w:r>
        <w:fldChar w:fldCharType="end"/>
      </w:r>
    </w:p>
    <w:p>
      <w:pPr>
        <w:pStyle w:val="TOC2"/>
        <w:rPr>
          <w:rFonts w:ascii="Calibri" w:hAnsi="Calibri"/>
          <w:noProof/>
          <w:sz w:val="22"/>
        </w:rPr>
      </w:pPr>
      <w:r>
        <w:fldChar w:fldCharType="begin"/>
      </w:r>
      <w:r>
        <w:instrText xml:space="preserve"> HYPERLINK \l "_Toc256000099"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134</w:t>
      </w:r>
      <w:r>
        <w:fldChar w:fldCharType="end"/>
      </w:r>
      <w:r>
        <w:fldChar w:fldCharType="end"/>
      </w:r>
    </w:p>
    <w:p>
      <w:pPr>
        <w:pStyle w:val="TOC1"/>
        <w:rPr>
          <w:rFonts w:ascii="Calibri" w:hAnsi="Calibri"/>
          <w:noProof/>
          <w:sz w:val="22"/>
        </w:rPr>
      </w:pPr>
      <w:r>
        <w:fldChar w:fldCharType="begin"/>
      </w:r>
      <w:r>
        <w:instrText xml:space="preserve"> HYPERLINK \l "_Toc256000100"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138</w:t>
      </w:r>
      <w:r>
        <w:fldChar w:fldCharType="end"/>
      </w:r>
      <w:r>
        <w:fldChar w:fldCharType="end"/>
      </w:r>
    </w:p>
    <w:p>
      <w:pPr>
        <w:pStyle w:val="TOC2"/>
        <w:rPr>
          <w:rFonts w:ascii="Calibri" w:hAnsi="Calibri"/>
          <w:noProof/>
          <w:sz w:val="22"/>
        </w:rPr>
      </w:pPr>
      <w:r>
        <w:fldChar w:fldCharType="begin"/>
      </w:r>
      <w:r>
        <w:instrText xml:space="preserve"> HYPERLINK \l "_Toc256000101"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138</w:t>
      </w:r>
      <w:r>
        <w:fldChar w:fldCharType="end"/>
      </w:r>
      <w:r>
        <w:fldChar w:fldCharType="end"/>
      </w:r>
    </w:p>
    <w:p>
      <w:pPr>
        <w:pStyle w:val="TOC2"/>
        <w:rPr>
          <w:rFonts w:ascii="Calibri" w:hAnsi="Calibri"/>
          <w:noProof/>
          <w:sz w:val="22"/>
        </w:rPr>
      </w:pPr>
      <w:r>
        <w:fldChar w:fldCharType="begin"/>
      </w:r>
      <w:r>
        <w:instrText xml:space="preserve"> HYPERLINK \l "_Toc256000102"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139</w:t>
      </w:r>
      <w:r>
        <w:fldChar w:fldCharType="end"/>
      </w:r>
      <w:r>
        <w:fldChar w:fldCharType="end"/>
      </w:r>
    </w:p>
    <w:p>
      <w:pPr>
        <w:pStyle w:val="TOC3"/>
        <w:rPr>
          <w:rFonts w:ascii="Calibri" w:hAnsi="Calibri"/>
          <w:noProof/>
          <w:sz w:val="22"/>
        </w:rPr>
      </w:pPr>
      <w:r>
        <w:fldChar w:fldCharType="begin"/>
      </w:r>
      <w:r>
        <w:instrText xml:space="preserve"> HYPERLINK \l "_Toc256000103"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165</w:t>
      </w:r>
      <w:r>
        <w:fldChar w:fldCharType="end"/>
      </w:r>
      <w:r>
        <w:fldChar w:fldCharType="end"/>
      </w:r>
    </w:p>
    <w:p>
      <w:pPr>
        <w:pStyle w:val="TOC3"/>
        <w:rPr>
          <w:rFonts w:ascii="Calibri" w:hAnsi="Calibri"/>
          <w:noProof/>
          <w:sz w:val="22"/>
        </w:rPr>
      </w:pPr>
      <w:r>
        <w:fldChar w:fldCharType="begin"/>
      </w:r>
      <w:r>
        <w:instrText xml:space="preserve"> HYPERLINK \l "_Toc256000104"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168</w:t>
      </w:r>
      <w:r>
        <w:fldChar w:fldCharType="end"/>
      </w:r>
      <w:r>
        <w:fldChar w:fldCharType="end"/>
      </w:r>
    </w:p>
    <w:p>
      <w:pPr>
        <w:pStyle w:val="TOC1"/>
        <w:rPr>
          <w:rFonts w:ascii="Calibri" w:hAnsi="Calibri"/>
          <w:noProof/>
          <w:sz w:val="22"/>
        </w:rPr>
      </w:pPr>
      <w:r>
        <w:fldChar w:fldCharType="begin"/>
      </w:r>
      <w:r>
        <w:instrText xml:space="preserve"> HYPERLINK \l "_Toc256000105"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172</w:t>
      </w:r>
      <w:r>
        <w:fldChar w:fldCharType="end"/>
      </w:r>
      <w:r>
        <w:fldChar w:fldCharType="end"/>
      </w:r>
    </w:p>
    <w:p>
      <w:pPr>
        <w:pStyle w:val="TOC2"/>
        <w:rPr>
          <w:rFonts w:ascii="Calibri" w:hAnsi="Calibri"/>
          <w:noProof/>
          <w:sz w:val="22"/>
        </w:rPr>
      </w:pPr>
      <w:r>
        <w:fldChar w:fldCharType="begin"/>
      </w:r>
      <w:r>
        <w:instrText xml:space="preserve"> HYPERLINK \l "_Toc256000106"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172</w:t>
      </w:r>
      <w:r>
        <w:fldChar w:fldCharType="end"/>
      </w:r>
      <w:r>
        <w:fldChar w:fldCharType="end"/>
      </w:r>
    </w:p>
    <w:p>
      <w:pPr>
        <w:pStyle w:val="TOC3"/>
        <w:rPr>
          <w:rFonts w:ascii="Calibri" w:hAnsi="Calibri"/>
          <w:noProof/>
          <w:sz w:val="22"/>
        </w:rPr>
      </w:pPr>
      <w:r>
        <w:fldChar w:fldCharType="begin"/>
      </w:r>
      <w:r>
        <w:instrText xml:space="preserve"> HYPERLINK \l "_Toc256000107"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176</w:t>
      </w:r>
      <w:r>
        <w:fldChar w:fldCharType="end"/>
      </w:r>
      <w:r>
        <w:fldChar w:fldCharType="end"/>
      </w:r>
    </w:p>
    <w:p>
      <w:pPr>
        <w:pStyle w:val="TOC3"/>
        <w:rPr>
          <w:rFonts w:ascii="Calibri" w:hAnsi="Calibri"/>
          <w:noProof/>
          <w:sz w:val="22"/>
        </w:rPr>
      </w:pPr>
      <w:r>
        <w:fldChar w:fldCharType="begin"/>
      </w:r>
      <w:r>
        <w:instrText xml:space="preserve"> HYPERLINK \l "_Toc256000108"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176</w:t>
      </w:r>
      <w:r>
        <w:fldChar w:fldCharType="end"/>
      </w:r>
      <w:r>
        <w:fldChar w:fldCharType="end"/>
      </w:r>
    </w:p>
    <w:p>
      <w:pPr>
        <w:pStyle w:val="TOC3"/>
        <w:rPr>
          <w:rFonts w:ascii="Calibri" w:hAnsi="Calibri"/>
          <w:noProof/>
          <w:sz w:val="22"/>
        </w:rPr>
      </w:pPr>
      <w:r>
        <w:fldChar w:fldCharType="begin"/>
      </w:r>
      <w:r>
        <w:instrText xml:space="preserve"> HYPERLINK \l "_Toc256000109"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177</w:t>
      </w:r>
      <w:r>
        <w:fldChar w:fldCharType="end"/>
      </w:r>
      <w:r>
        <w:fldChar w:fldCharType="end"/>
      </w:r>
    </w:p>
    <w:p>
      <w:pPr>
        <w:pStyle w:val="TOC3"/>
        <w:rPr>
          <w:rFonts w:ascii="Calibri" w:hAnsi="Calibri"/>
          <w:noProof/>
          <w:sz w:val="22"/>
        </w:rPr>
      </w:pPr>
      <w:r>
        <w:fldChar w:fldCharType="begin"/>
      </w:r>
      <w:r>
        <w:instrText xml:space="preserve"> HYPERLINK \l "_Toc256000110"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178</w:t>
      </w:r>
      <w:r>
        <w:fldChar w:fldCharType="end"/>
      </w:r>
      <w:r>
        <w:fldChar w:fldCharType="end"/>
      </w:r>
    </w:p>
    <w:p>
      <w:pPr>
        <w:pStyle w:val="TOC3"/>
        <w:rPr>
          <w:rFonts w:ascii="Calibri" w:hAnsi="Calibri"/>
          <w:noProof/>
          <w:sz w:val="22"/>
        </w:rPr>
      </w:pPr>
      <w:r>
        <w:fldChar w:fldCharType="begin"/>
      </w:r>
      <w:r>
        <w:instrText xml:space="preserve"> HYPERLINK \l "_Toc256000111"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179</w:t>
      </w:r>
      <w:r>
        <w:fldChar w:fldCharType="end"/>
      </w:r>
      <w:r>
        <w:fldChar w:fldCharType="end"/>
      </w:r>
    </w:p>
    <w:p>
      <w:pPr>
        <w:pStyle w:val="TOC2"/>
        <w:rPr>
          <w:rFonts w:ascii="Calibri" w:hAnsi="Calibri"/>
          <w:noProof/>
          <w:sz w:val="22"/>
        </w:rPr>
      </w:pPr>
      <w:r>
        <w:fldChar w:fldCharType="begin"/>
      </w:r>
      <w:r>
        <w:instrText xml:space="preserve"> HYPERLINK \l "_Toc256000112"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181</w:t>
      </w:r>
      <w:r>
        <w:fldChar w:fldCharType="end"/>
      </w:r>
      <w:r>
        <w:fldChar w:fldCharType="end"/>
      </w:r>
    </w:p>
    <w:p>
      <w:pPr>
        <w:pStyle w:val="TOC3"/>
        <w:rPr>
          <w:rFonts w:ascii="Calibri" w:hAnsi="Calibri"/>
          <w:noProof/>
          <w:sz w:val="22"/>
        </w:rPr>
      </w:pPr>
      <w:r>
        <w:fldChar w:fldCharType="begin"/>
      </w:r>
      <w:r>
        <w:instrText xml:space="preserve"> HYPERLINK \l "_Toc256000113"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181</w:t>
      </w:r>
      <w:r>
        <w:fldChar w:fldCharType="end"/>
      </w:r>
      <w:r>
        <w:fldChar w:fldCharType="end"/>
      </w:r>
    </w:p>
    <w:p>
      <w:pPr>
        <w:pStyle w:val="TOC2"/>
        <w:rPr>
          <w:rFonts w:ascii="Calibri" w:hAnsi="Calibri"/>
          <w:noProof/>
          <w:sz w:val="22"/>
        </w:rPr>
      </w:pPr>
      <w:r>
        <w:fldChar w:fldCharType="begin"/>
      </w:r>
      <w:r>
        <w:instrText xml:space="preserve"> HYPERLINK \l "_Toc256000114"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183</w:t>
      </w:r>
      <w:r>
        <w:fldChar w:fldCharType="end"/>
      </w:r>
      <w:r>
        <w:fldChar w:fldCharType="end"/>
      </w:r>
    </w:p>
    <w:p>
      <w:pPr>
        <w:pStyle w:val="TOC1"/>
        <w:rPr>
          <w:rFonts w:ascii="Calibri" w:hAnsi="Calibri"/>
          <w:noProof/>
          <w:sz w:val="22"/>
        </w:rPr>
      </w:pPr>
      <w:r>
        <w:fldChar w:fldCharType="begin"/>
      </w:r>
      <w:r>
        <w:instrText xml:space="preserve"> HYPERLINK \l "_Toc256000115"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185</w:t>
      </w:r>
      <w:r>
        <w:fldChar w:fldCharType="end"/>
      </w:r>
      <w:r>
        <w:fldChar w:fldCharType="end"/>
      </w:r>
    </w:p>
    <w:p>
      <w:pPr>
        <w:pStyle w:val="TOC2"/>
        <w:rPr>
          <w:rFonts w:ascii="Calibri" w:hAnsi="Calibri"/>
          <w:noProof/>
          <w:sz w:val="22"/>
        </w:rPr>
      </w:pPr>
      <w:r>
        <w:fldChar w:fldCharType="begin"/>
      </w:r>
      <w:r>
        <w:instrText xml:space="preserve"> HYPERLINK \l "_Toc256000116"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185</w:t>
      </w:r>
      <w:r>
        <w:fldChar w:fldCharType="end"/>
      </w:r>
      <w:r>
        <w:fldChar w:fldCharType="end"/>
      </w:r>
    </w:p>
    <w:p>
      <w:pPr>
        <w:pStyle w:val="TOC2"/>
        <w:rPr>
          <w:rFonts w:ascii="Calibri" w:hAnsi="Calibri"/>
          <w:noProof/>
          <w:sz w:val="22"/>
        </w:rPr>
      </w:pPr>
      <w:r>
        <w:fldChar w:fldCharType="begin"/>
      </w:r>
      <w:r>
        <w:instrText xml:space="preserve"> HYPERLINK \l "_Toc256000117"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192</w:t>
      </w:r>
      <w:r>
        <w:fldChar w:fldCharType="end"/>
      </w:r>
      <w:r>
        <w:fldChar w:fldCharType="end"/>
      </w:r>
    </w:p>
    <w:p>
      <w:pPr>
        <w:pStyle w:val="TOC3"/>
        <w:rPr>
          <w:rFonts w:ascii="Calibri" w:hAnsi="Calibri"/>
          <w:noProof/>
          <w:sz w:val="22"/>
        </w:rPr>
      </w:pPr>
      <w:r>
        <w:fldChar w:fldCharType="begin"/>
      </w:r>
      <w:r>
        <w:instrText xml:space="preserve"> HYPERLINK \l "_Toc256000118"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192</w:t>
      </w:r>
      <w:r>
        <w:fldChar w:fldCharType="end"/>
      </w:r>
      <w:r>
        <w:fldChar w:fldCharType="end"/>
      </w:r>
    </w:p>
    <w:p>
      <w:pPr>
        <w:pStyle w:val="TOC3"/>
        <w:rPr>
          <w:rFonts w:ascii="Calibri" w:hAnsi="Calibri"/>
          <w:noProof/>
          <w:sz w:val="22"/>
        </w:rPr>
      </w:pPr>
      <w:r>
        <w:fldChar w:fldCharType="begin"/>
      </w:r>
      <w:r>
        <w:instrText xml:space="preserve"> HYPERLINK \l "_Toc256000119"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218</w:t>
      </w:r>
      <w:r>
        <w:fldChar w:fldCharType="end"/>
      </w:r>
      <w:r>
        <w:fldChar w:fldCharType="end"/>
      </w:r>
    </w:p>
    <w:p>
      <w:pPr>
        <w:pStyle w:val="TOC3"/>
        <w:rPr>
          <w:rFonts w:ascii="Calibri" w:hAnsi="Calibri"/>
          <w:noProof/>
          <w:sz w:val="22"/>
        </w:rPr>
      </w:pPr>
      <w:r>
        <w:fldChar w:fldCharType="begin"/>
      </w:r>
      <w:r>
        <w:instrText xml:space="preserve"> HYPERLINK \l "_Toc256000120"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252</w:t>
      </w:r>
      <w:r>
        <w:fldChar w:fldCharType="end"/>
      </w:r>
      <w:r>
        <w:fldChar w:fldCharType="end"/>
      </w:r>
    </w:p>
    <w:p>
      <w:pPr>
        <w:pStyle w:val="TOC3"/>
        <w:rPr>
          <w:rFonts w:ascii="Calibri" w:hAnsi="Calibri"/>
          <w:noProof/>
          <w:sz w:val="22"/>
        </w:rPr>
      </w:pPr>
      <w:r>
        <w:fldChar w:fldCharType="begin"/>
      </w:r>
      <w:r>
        <w:instrText xml:space="preserve"> HYPERLINK \l "_Toc256000121"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_Toc256000121 \h </w:instrText>
      </w:r>
      <w:r>
        <w:fldChar w:fldCharType="separate"/>
      </w:r>
      <w:r>
        <w:t>321</w:t>
      </w:r>
      <w:r>
        <w:fldChar w:fldCharType="end"/>
      </w:r>
      <w:r>
        <w:fldChar w:fldCharType="end"/>
      </w:r>
    </w:p>
    <w:p>
      <w:pPr>
        <w:pStyle w:val="TOC3"/>
        <w:rPr>
          <w:rFonts w:ascii="Calibri" w:hAnsi="Calibri"/>
          <w:noProof/>
          <w:sz w:val="22"/>
        </w:rPr>
      </w:pPr>
      <w:r>
        <w:fldChar w:fldCharType="begin"/>
      </w:r>
      <w:r>
        <w:instrText xml:space="preserve"> HYPERLINK \l "_Toc256000122"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_Toc256000122 \h </w:instrText>
      </w:r>
      <w:r>
        <w:fldChar w:fldCharType="separate"/>
      </w:r>
      <w:r>
        <w:t>370</w:t>
      </w:r>
      <w:r>
        <w:fldChar w:fldCharType="end"/>
      </w:r>
      <w:r>
        <w:fldChar w:fldCharType="end"/>
      </w:r>
    </w:p>
    <w:p>
      <w:pPr>
        <w:pStyle w:val="TOC3"/>
        <w:rPr>
          <w:rFonts w:ascii="Calibri" w:hAnsi="Calibri"/>
          <w:noProof/>
          <w:sz w:val="22"/>
        </w:rPr>
      </w:pPr>
      <w:r>
        <w:fldChar w:fldCharType="begin"/>
      </w:r>
      <w:r>
        <w:instrText xml:space="preserve"> HYPERLINK \l "_Toc256000123"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_Toc256000123 \h </w:instrText>
      </w:r>
      <w:r>
        <w:fldChar w:fldCharType="separate"/>
      </w:r>
      <w:r>
        <w:t>407</w:t>
      </w:r>
      <w:r>
        <w:fldChar w:fldCharType="end"/>
      </w:r>
      <w:r>
        <w:fldChar w:fldCharType="end"/>
      </w:r>
    </w:p>
    <w:p>
      <w:pPr>
        <w:pStyle w:val="TOC3"/>
        <w:rPr>
          <w:rFonts w:ascii="Calibri" w:hAnsi="Calibri"/>
          <w:noProof/>
          <w:sz w:val="22"/>
        </w:rPr>
      </w:pPr>
      <w:r>
        <w:fldChar w:fldCharType="begin"/>
      </w:r>
      <w:r>
        <w:instrText xml:space="preserve"> HYPERLINK \l "_Toc256000124"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_Toc256000124 \h </w:instrText>
      </w:r>
      <w:r>
        <w:fldChar w:fldCharType="separate"/>
      </w:r>
      <w:r>
        <w:t>460</w:t>
      </w:r>
      <w:r>
        <w:fldChar w:fldCharType="end"/>
      </w:r>
      <w:r>
        <w:fldChar w:fldCharType="end"/>
      </w:r>
    </w:p>
    <w:p>
      <w:pPr>
        <w:pStyle w:val="TOC3"/>
        <w:rPr>
          <w:rFonts w:ascii="Calibri" w:hAnsi="Calibri"/>
          <w:noProof/>
          <w:sz w:val="22"/>
        </w:rPr>
      </w:pPr>
      <w:r>
        <w:fldChar w:fldCharType="begin"/>
      </w:r>
      <w:r>
        <w:instrText xml:space="preserve"> HYPERLINK \l "_Toc256000125"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_Toc256000125 \h </w:instrText>
      </w:r>
      <w:r>
        <w:fldChar w:fldCharType="separate"/>
      </w:r>
      <w:r>
        <w:t>473</w:t>
      </w:r>
      <w:r>
        <w:fldChar w:fldCharType="end"/>
      </w:r>
      <w:r>
        <w:fldChar w:fldCharType="end"/>
      </w:r>
    </w:p>
    <w:p>
      <w:pPr>
        <w:pStyle w:val="TOC3"/>
        <w:rPr>
          <w:rFonts w:ascii="Calibri" w:hAnsi="Calibri"/>
          <w:noProof/>
          <w:sz w:val="22"/>
        </w:rPr>
      </w:pPr>
      <w:r>
        <w:fldChar w:fldCharType="begin"/>
      </w:r>
      <w:r>
        <w:instrText xml:space="preserve"> HYPERLINK \l "_Toc256000126"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_Toc256000126 \h </w:instrText>
      </w:r>
      <w:r>
        <w:fldChar w:fldCharType="separate"/>
      </w:r>
      <w:r>
        <w:t>523</w:t>
      </w:r>
      <w:r>
        <w:fldChar w:fldCharType="end"/>
      </w:r>
      <w:r>
        <w:fldChar w:fldCharType="end"/>
      </w:r>
    </w:p>
    <w:p>
      <w:pPr>
        <w:pStyle w:val="TOC3"/>
        <w:rPr>
          <w:rFonts w:ascii="Calibri" w:hAnsi="Calibri"/>
          <w:noProof/>
          <w:sz w:val="22"/>
        </w:rPr>
      </w:pPr>
      <w:r>
        <w:fldChar w:fldCharType="begin"/>
      </w:r>
      <w:r>
        <w:instrText xml:space="preserve"> HYPERLINK \l "_Toc256000127"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_Toc256000127 \h </w:instrText>
      </w:r>
      <w:r>
        <w:fldChar w:fldCharType="separate"/>
      </w:r>
      <w:r>
        <w:t>546</w:t>
      </w:r>
      <w:r>
        <w:fldChar w:fldCharType="end"/>
      </w:r>
      <w:r>
        <w:fldChar w:fldCharType="end"/>
      </w:r>
    </w:p>
    <w:p>
      <w:pPr>
        <w:pStyle w:val="TOC3"/>
        <w:rPr>
          <w:rFonts w:ascii="Calibri" w:hAnsi="Calibri"/>
          <w:noProof/>
          <w:sz w:val="22"/>
        </w:rPr>
      </w:pPr>
      <w:r>
        <w:fldChar w:fldCharType="begin"/>
      </w:r>
      <w:r>
        <w:instrText xml:space="preserve"> HYPERLINK \l "_Toc256000128"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_Toc256000128 \h </w:instrText>
      </w:r>
      <w:r>
        <w:fldChar w:fldCharType="separate"/>
      </w:r>
      <w:r>
        <w:t>565</w:t>
      </w:r>
      <w:r>
        <w:fldChar w:fldCharType="end"/>
      </w:r>
      <w:r>
        <w:fldChar w:fldCharType="end"/>
      </w:r>
    </w:p>
    <w:p>
      <w:pPr>
        <w:pStyle w:val="TOC3"/>
        <w:rPr>
          <w:rFonts w:ascii="Calibri" w:hAnsi="Calibri"/>
          <w:noProof/>
          <w:sz w:val="22"/>
        </w:rPr>
      </w:pPr>
      <w:r>
        <w:fldChar w:fldCharType="begin"/>
      </w:r>
      <w:r>
        <w:instrText xml:space="preserve"> HYPERLINK \l "_Toc256000129"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_Toc256000129 \h </w:instrText>
      </w:r>
      <w:r>
        <w:fldChar w:fldCharType="separate"/>
      </w:r>
      <w:r>
        <w:t>581</w:t>
      </w:r>
      <w:r>
        <w:fldChar w:fldCharType="end"/>
      </w:r>
      <w:r>
        <w:fldChar w:fldCharType="end"/>
      </w:r>
    </w:p>
    <w:p>
      <w:pPr>
        <w:pStyle w:val="TOC3"/>
        <w:rPr>
          <w:rFonts w:ascii="Calibri" w:hAnsi="Calibri"/>
          <w:noProof/>
          <w:sz w:val="22"/>
        </w:rPr>
      </w:pPr>
      <w:r>
        <w:fldChar w:fldCharType="begin"/>
      </w:r>
      <w:r>
        <w:instrText xml:space="preserve"> HYPERLINK \l "_Toc256000130"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_Toc256000130 \h </w:instrText>
      </w:r>
      <w:r>
        <w:fldChar w:fldCharType="separate"/>
      </w:r>
      <w:r>
        <w:t>596</w:t>
      </w:r>
      <w:r>
        <w:fldChar w:fldCharType="end"/>
      </w:r>
      <w:r>
        <w:fldChar w:fldCharType="end"/>
      </w:r>
    </w:p>
    <w:p>
      <w:pPr>
        <w:pStyle w:val="TOC3"/>
        <w:rPr>
          <w:rFonts w:ascii="Calibri" w:hAnsi="Calibri"/>
          <w:noProof/>
          <w:sz w:val="22"/>
        </w:rPr>
      </w:pPr>
      <w:r>
        <w:fldChar w:fldCharType="begin"/>
      </w:r>
      <w:r>
        <w:instrText xml:space="preserve"> HYPERLINK \l "_Toc256000131"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606</w:t>
      </w:r>
      <w:r>
        <w:fldChar w:fldCharType="end"/>
      </w:r>
      <w:r>
        <w:fldChar w:fldCharType="end"/>
      </w:r>
    </w:p>
    <w:p>
      <w:pPr>
        <w:pStyle w:val="TOC3"/>
        <w:rPr>
          <w:rFonts w:ascii="Calibri" w:hAnsi="Calibri"/>
          <w:noProof/>
          <w:sz w:val="22"/>
        </w:rPr>
      </w:pPr>
      <w:r>
        <w:fldChar w:fldCharType="begin"/>
      </w:r>
      <w:r>
        <w:instrText xml:space="preserve"> HYPERLINK \l "_Toc256000132"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633</w:t>
      </w:r>
      <w:r>
        <w:fldChar w:fldCharType="end"/>
      </w:r>
      <w:r>
        <w:fldChar w:fldCharType="end"/>
      </w:r>
    </w:p>
    <w:p>
      <w:pPr>
        <w:pStyle w:val="TOC1"/>
        <w:rPr>
          <w:rFonts w:ascii="Calibri" w:hAnsi="Calibri"/>
          <w:noProof/>
          <w:sz w:val="22"/>
        </w:rPr>
      </w:pPr>
      <w:r>
        <w:fldChar w:fldCharType="begin"/>
      </w:r>
      <w:r>
        <w:instrText xml:space="preserve"> HYPERLINK \l "_Toc256000133"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_Toc256000133 \h </w:instrText>
      </w:r>
      <w:r>
        <w:fldChar w:fldCharType="separate"/>
      </w:r>
      <w:r>
        <w:t>672</w:t>
      </w:r>
      <w:r>
        <w:fldChar w:fldCharType="end"/>
      </w:r>
      <w:r>
        <w:fldChar w:fldCharType="end"/>
      </w:r>
    </w:p>
    <w:p>
      <w:pPr>
        <w:pStyle w:val="TOC2"/>
        <w:rPr>
          <w:rFonts w:ascii="Calibri" w:hAnsi="Calibri"/>
          <w:noProof/>
          <w:sz w:val="22"/>
        </w:rPr>
      </w:pPr>
      <w:r>
        <w:fldChar w:fldCharType="begin"/>
      </w:r>
      <w:r>
        <w:instrText xml:space="preserve"> HYPERLINK \l "_Toc256000134"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_Toc256000134 \h </w:instrText>
      </w:r>
      <w:r>
        <w:fldChar w:fldCharType="separate"/>
      </w:r>
      <w:r>
        <w:t>672</w:t>
      </w:r>
      <w:r>
        <w:fldChar w:fldCharType="end"/>
      </w:r>
      <w:r>
        <w:fldChar w:fldCharType="end"/>
      </w:r>
    </w:p>
    <w:p>
      <w:pPr>
        <w:pStyle w:val="TOC2"/>
        <w:rPr>
          <w:rFonts w:ascii="Calibri" w:hAnsi="Calibri"/>
          <w:noProof/>
          <w:sz w:val="22"/>
        </w:rPr>
      </w:pPr>
      <w:r>
        <w:fldChar w:fldCharType="begin"/>
      </w:r>
      <w:r>
        <w:instrText xml:space="preserve"> HYPERLINK \l "_Toc256000135"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_Toc256000135 \h </w:instrText>
      </w:r>
      <w:r>
        <w:fldChar w:fldCharType="separate"/>
      </w:r>
      <w:r>
        <w:t>673</w:t>
      </w:r>
      <w:r>
        <w:fldChar w:fldCharType="end"/>
      </w:r>
      <w:r>
        <w:fldChar w:fldCharType="end"/>
      </w:r>
    </w:p>
    <w:p>
      <w:pPr>
        <w:pStyle w:val="TOC2"/>
        <w:rPr>
          <w:rFonts w:ascii="Calibri" w:hAnsi="Calibri"/>
          <w:noProof/>
          <w:sz w:val="22"/>
        </w:rPr>
      </w:pPr>
      <w:r>
        <w:fldChar w:fldCharType="begin"/>
      </w:r>
      <w:r>
        <w:instrText xml:space="preserve"> HYPERLINK \l "_Toc256000136"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_Toc256000136 \h </w:instrText>
      </w:r>
      <w:r>
        <w:fldChar w:fldCharType="separate"/>
      </w:r>
      <w:r>
        <w:t>675</w:t>
      </w:r>
      <w:r>
        <w:fldChar w:fldCharType="end"/>
      </w:r>
      <w:r>
        <w:fldChar w:fldCharType="end"/>
      </w:r>
    </w:p>
    <w:p>
      <w:pPr>
        <w:pStyle w:val="TOC2"/>
        <w:rPr>
          <w:rFonts w:ascii="Calibri" w:hAnsi="Calibri"/>
          <w:noProof/>
          <w:sz w:val="22"/>
        </w:rPr>
      </w:pPr>
      <w:r>
        <w:fldChar w:fldCharType="begin"/>
      </w:r>
      <w:r>
        <w:instrText xml:space="preserve"> HYPERLINK \l "_Toc256000137"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_Toc256000137 \h </w:instrText>
      </w:r>
      <w:r>
        <w:fldChar w:fldCharType="separate"/>
      </w:r>
      <w:r>
        <w:t>679</w:t>
      </w:r>
      <w:r>
        <w:fldChar w:fldCharType="end"/>
      </w:r>
      <w:r>
        <w:fldChar w:fldCharType="end"/>
      </w:r>
    </w:p>
    <w:p>
      <w:pPr>
        <w:pStyle w:val="TOC2"/>
        <w:rPr>
          <w:rFonts w:ascii="Calibri" w:hAnsi="Calibri"/>
          <w:noProof/>
          <w:sz w:val="22"/>
        </w:rPr>
      </w:pPr>
      <w:r>
        <w:fldChar w:fldCharType="begin"/>
      </w:r>
      <w:r>
        <w:instrText xml:space="preserve"> HYPERLINK \l "_Toc256000138"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_Toc256000138 \h </w:instrText>
      </w:r>
      <w:r>
        <w:fldChar w:fldCharType="separate"/>
      </w:r>
      <w:r>
        <w:t>681</w:t>
      </w:r>
      <w:r>
        <w:fldChar w:fldCharType="end"/>
      </w:r>
      <w:r>
        <w:fldChar w:fldCharType="end"/>
      </w:r>
    </w:p>
    <w:p>
      <w:pPr>
        <w:pStyle w:val="TOC2"/>
        <w:rPr>
          <w:rFonts w:ascii="Calibri" w:hAnsi="Calibri"/>
          <w:noProof/>
          <w:sz w:val="22"/>
        </w:rPr>
      </w:pPr>
      <w:r>
        <w:fldChar w:fldCharType="begin"/>
      </w:r>
      <w:r>
        <w:instrText xml:space="preserve"> HYPERLINK \l "_Toc256000139"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_Toc256000139 \h </w:instrText>
      </w:r>
      <w:r>
        <w:fldChar w:fldCharType="separate"/>
      </w:r>
      <w:r>
        <w:t>683</w:t>
      </w:r>
      <w:r>
        <w:fldChar w:fldCharType="end"/>
      </w:r>
      <w:r>
        <w:fldChar w:fldCharType="end"/>
      </w:r>
    </w:p>
    <w:p>
      <w:pPr>
        <w:pStyle w:val="TOC2"/>
        <w:rPr>
          <w:rFonts w:ascii="Calibri" w:hAnsi="Calibri"/>
          <w:noProof/>
          <w:sz w:val="22"/>
        </w:rPr>
      </w:pPr>
      <w:r>
        <w:fldChar w:fldCharType="begin"/>
      </w:r>
      <w:r>
        <w:instrText xml:space="preserve"> HYPERLINK \l "_Toc256000140"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_Toc256000140 \h </w:instrText>
      </w:r>
      <w:r>
        <w:fldChar w:fldCharType="separate"/>
      </w:r>
      <w:r>
        <w:t>685</w:t>
      </w:r>
      <w:r>
        <w:fldChar w:fldCharType="end"/>
      </w:r>
      <w:r>
        <w:fldChar w:fldCharType="end"/>
      </w:r>
    </w:p>
    <w:p>
      <w:pPr>
        <w:pStyle w:val="TOC1"/>
        <w:rPr>
          <w:rFonts w:ascii="Calibri" w:hAnsi="Calibri"/>
          <w:noProof/>
          <w:sz w:val="22"/>
        </w:rPr>
      </w:pPr>
      <w:r>
        <w:fldChar w:fldCharType="begin"/>
      </w:r>
      <w:r>
        <w:instrText xml:space="preserve"> HYPERLINK \l "_Toc256000141"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_Toc256000141 \h </w:instrText>
      </w:r>
      <w:r>
        <w:fldChar w:fldCharType="separate"/>
      </w:r>
      <w:r>
        <w:t>687</w:t>
      </w:r>
      <w:r>
        <w:fldChar w:fldCharType="end"/>
      </w:r>
      <w:r>
        <w:fldChar w:fldCharType="end"/>
      </w:r>
    </w:p>
    <w:p>
      <w:pPr>
        <w:pStyle w:val="TOC2"/>
        <w:rPr>
          <w:rFonts w:ascii="Calibri" w:hAnsi="Calibri"/>
          <w:noProof/>
          <w:sz w:val="22"/>
        </w:rPr>
      </w:pPr>
      <w:r>
        <w:fldChar w:fldCharType="begin"/>
      </w:r>
      <w:r>
        <w:instrText xml:space="preserve"> HYPERLINK \l "_Toc256000142"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_Toc256000142 \h </w:instrText>
      </w:r>
      <w:r>
        <w:fldChar w:fldCharType="separate"/>
      </w:r>
      <w:r>
        <w:t>687</w:t>
      </w:r>
      <w:r>
        <w:fldChar w:fldCharType="end"/>
      </w:r>
      <w:r>
        <w:fldChar w:fldCharType="end"/>
      </w:r>
    </w:p>
    <w:p>
      <w:pPr>
        <w:pStyle w:val="TOC2"/>
        <w:rPr>
          <w:rFonts w:ascii="Calibri" w:hAnsi="Calibri"/>
          <w:noProof/>
          <w:sz w:val="22"/>
        </w:rPr>
      </w:pPr>
      <w:r>
        <w:fldChar w:fldCharType="begin"/>
      </w:r>
      <w:r>
        <w:instrText xml:space="preserve"> HYPERLINK \l "_Toc256000143"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_Toc256000143 \h </w:instrText>
      </w:r>
      <w:r>
        <w:fldChar w:fldCharType="separate"/>
      </w:r>
      <w:r>
        <w:t>689</w:t>
      </w:r>
      <w:r>
        <w:fldChar w:fldCharType="end"/>
      </w:r>
      <w:r>
        <w:fldChar w:fldCharType="end"/>
      </w:r>
    </w:p>
    <w:p>
      <w:pPr>
        <w:pStyle w:val="TOC2"/>
        <w:rPr>
          <w:rFonts w:ascii="Calibri" w:hAnsi="Calibri"/>
          <w:noProof/>
          <w:sz w:val="22"/>
        </w:rPr>
      </w:pPr>
      <w:r>
        <w:fldChar w:fldCharType="begin"/>
      </w:r>
      <w:r>
        <w:instrText xml:space="preserve"> HYPERLINK \l "_Toc256000144"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_Toc256000144 \h </w:instrText>
      </w:r>
      <w:r>
        <w:fldChar w:fldCharType="separate"/>
      </w:r>
      <w:r>
        <w:t>690</w:t>
      </w:r>
      <w:r>
        <w:fldChar w:fldCharType="end"/>
      </w:r>
      <w:r>
        <w:fldChar w:fldCharType="end"/>
      </w:r>
    </w:p>
    <w:p>
      <w:pPr>
        <w:pStyle w:val="TOC3"/>
        <w:rPr>
          <w:rFonts w:ascii="Calibri" w:hAnsi="Calibri"/>
          <w:noProof/>
          <w:sz w:val="22"/>
        </w:rPr>
      </w:pPr>
      <w:r>
        <w:fldChar w:fldCharType="begin"/>
      </w:r>
      <w:r>
        <w:instrText xml:space="preserve"> HYPERLINK \l "_Toc256000145"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_Toc256000145 \h </w:instrText>
      </w:r>
      <w:r>
        <w:fldChar w:fldCharType="separate"/>
      </w:r>
      <w:r>
        <w:t>690</w:t>
      </w:r>
      <w:r>
        <w:fldChar w:fldCharType="end"/>
      </w:r>
      <w:r>
        <w:fldChar w:fldCharType="end"/>
      </w:r>
    </w:p>
    <w:p>
      <w:pPr>
        <w:pStyle w:val="TOC3"/>
        <w:rPr>
          <w:rFonts w:ascii="Calibri" w:hAnsi="Calibri"/>
          <w:noProof/>
          <w:sz w:val="22"/>
        </w:rPr>
      </w:pPr>
      <w:r>
        <w:fldChar w:fldCharType="begin"/>
      </w:r>
      <w:r>
        <w:instrText xml:space="preserve"> HYPERLINK \l "_Toc256000146"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_Toc256000146 \h </w:instrText>
      </w:r>
      <w:r>
        <w:fldChar w:fldCharType="separate"/>
      </w:r>
      <w:r>
        <w:t>692</w:t>
      </w:r>
      <w:r>
        <w:fldChar w:fldCharType="end"/>
      </w:r>
      <w:r>
        <w:fldChar w:fldCharType="end"/>
      </w:r>
    </w:p>
    <w:p>
      <w:pPr>
        <w:pStyle w:val="TOC3"/>
        <w:rPr>
          <w:rFonts w:ascii="Calibri" w:hAnsi="Calibri"/>
          <w:noProof/>
          <w:sz w:val="22"/>
        </w:rPr>
      </w:pPr>
      <w:r>
        <w:fldChar w:fldCharType="begin"/>
      </w:r>
      <w:r>
        <w:instrText xml:space="preserve"> HYPERLINK \l "_Toc256000147"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_Toc256000147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"_Toc256000148"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_Toc256000148 \h </w:instrText>
      </w:r>
      <w:r>
        <w:fldChar w:fldCharType="separate"/>
      </w:r>
      <w:r>
        <w:t>696</w:t>
      </w:r>
      <w:r>
        <w:fldChar w:fldCharType="end"/>
      </w:r>
      <w:r>
        <w:fldChar w:fldCharType="end"/>
      </w:r>
    </w:p>
    <w:p>
      <w:pPr>
        <w:pStyle w:val="TOC3"/>
        <w:rPr>
          <w:rFonts w:ascii="Calibri" w:hAnsi="Calibri"/>
          <w:noProof/>
          <w:sz w:val="22"/>
        </w:rPr>
      </w:pPr>
      <w:r>
        <w:fldChar w:fldCharType="begin"/>
      </w:r>
      <w:r>
        <w:instrText xml:space="preserve"> HYPERLINK \l "_Toc256000149"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_Toc256000149 \h </w:instrText>
      </w:r>
      <w:r>
        <w:fldChar w:fldCharType="separate"/>
      </w:r>
      <w:r>
        <w:t>698</w:t>
      </w:r>
      <w:r>
        <w:fldChar w:fldCharType="end"/>
      </w:r>
      <w:r>
        <w:fldChar w:fldCharType="end"/>
      </w:r>
    </w:p>
    <w:p>
      <w:pPr>
        <w:pStyle w:val="TOC3"/>
        <w:rPr>
          <w:rFonts w:ascii="Calibri" w:hAnsi="Calibri"/>
          <w:noProof/>
          <w:sz w:val="22"/>
        </w:rPr>
      </w:pPr>
      <w:r>
        <w:fldChar w:fldCharType="begin"/>
      </w:r>
      <w:r>
        <w:instrText xml:space="preserve"> HYPERLINK \l "_Toc256000150"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_Toc256000150 \h </w:instrText>
      </w:r>
      <w:r>
        <w:fldChar w:fldCharType="separate"/>
      </w:r>
      <w:r>
        <w:t>699</w:t>
      </w:r>
      <w:r>
        <w:fldChar w:fldCharType="end"/>
      </w:r>
      <w:r>
        <w:fldChar w:fldCharType="end"/>
      </w:r>
    </w:p>
    <w:p>
      <w:pPr>
        <w:pStyle w:val="TOC3"/>
        <w:rPr>
          <w:rFonts w:ascii="Calibri" w:hAnsi="Calibri"/>
          <w:noProof/>
          <w:sz w:val="22"/>
        </w:rPr>
      </w:pPr>
      <w:r>
        <w:fldChar w:fldCharType="begin"/>
      </w:r>
      <w:r>
        <w:instrText xml:space="preserve"> HYPERLINK \l "_Toc256000151"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_Toc256000151 \h </w:instrText>
      </w:r>
      <w:r>
        <w:fldChar w:fldCharType="separate"/>
      </w:r>
      <w:r>
        <w:t>701</w:t>
      </w:r>
      <w:r>
        <w:fldChar w:fldCharType="end"/>
      </w:r>
      <w:r>
        <w:fldChar w:fldCharType="end"/>
      </w:r>
    </w:p>
    <w:p>
      <w:pPr>
        <w:pStyle w:val="TOC3"/>
        <w:rPr>
          <w:rFonts w:ascii="Calibri" w:hAnsi="Calibri"/>
          <w:noProof/>
          <w:sz w:val="22"/>
        </w:rPr>
      </w:pPr>
      <w:r>
        <w:fldChar w:fldCharType="begin"/>
      </w:r>
      <w:r>
        <w:instrText xml:space="preserve"> HYPERLINK \l "_Toc256000152"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_Toc256000152 \h </w:instrText>
      </w:r>
      <w:r>
        <w:fldChar w:fldCharType="separate"/>
      </w:r>
      <w:r>
        <w:t>703</w:t>
      </w:r>
      <w:r>
        <w:fldChar w:fldCharType="end"/>
      </w:r>
      <w:r>
        <w:fldChar w:fldCharType="end"/>
      </w:r>
    </w:p>
    <w:p>
      <w:pPr>
        <w:pStyle w:val="TOC3"/>
        <w:rPr>
          <w:rFonts w:ascii="Calibri" w:hAnsi="Calibri"/>
          <w:noProof/>
          <w:sz w:val="22"/>
        </w:rPr>
      </w:pPr>
      <w:r>
        <w:fldChar w:fldCharType="begin"/>
      </w:r>
      <w:r>
        <w:instrText xml:space="preserve"> HYPERLINK \l "_Toc256000153"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_Toc256000153 \h </w:instrText>
      </w:r>
      <w:r>
        <w:fldChar w:fldCharType="separate"/>
      </w:r>
      <w:r>
        <w:t>705</w:t>
      </w:r>
      <w:r>
        <w:fldChar w:fldCharType="end"/>
      </w:r>
      <w:r>
        <w:fldChar w:fldCharType="end"/>
      </w:r>
    </w:p>
    <w:p>
      <w:pPr>
        <w:pStyle w:val="TOC3"/>
        <w:rPr>
          <w:rFonts w:ascii="Calibri" w:hAnsi="Calibri"/>
          <w:noProof/>
          <w:sz w:val="22"/>
        </w:rPr>
      </w:pPr>
      <w:r>
        <w:fldChar w:fldCharType="begin"/>
      </w:r>
      <w:r>
        <w:instrText xml:space="preserve"> HYPERLINK \l "_Toc256000154"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_Toc256000154 \h </w:instrText>
      </w:r>
      <w:r>
        <w:fldChar w:fldCharType="separate"/>
      </w:r>
      <w:r>
        <w:t>707</w:t>
      </w:r>
      <w:r>
        <w:fldChar w:fldCharType="end"/>
      </w:r>
      <w:r>
        <w:fldChar w:fldCharType="end"/>
      </w:r>
    </w:p>
    <w:p>
      <w:pPr>
        <w:pStyle w:val="TOC3"/>
        <w:rPr>
          <w:rFonts w:ascii="Calibri" w:hAnsi="Calibri"/>
          <w:noProof/>
          <w:sz w:val="22"/>
        </w:rPr>
      </w:pPr>
      <w:r>
        <w:fldChar w:fldCharType="begin"/>
      </w:r>
      <w:r>
        <w:instrText xml:space="preserve"> HYPERLINK \l "_Toc256000155"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_Toc256000155 \h </w:instrText>
      </w:r>
      <w:r>
        <w:fldChar w:fldCharType="separate"/>
      </w:r>
      <w:r>
        <w:t>709</w:t>
      </w:r>
      <w:r>
        <w:fldChar w:fldCharType="end"/>
      </w:r>
      <w:r>
        <w:fldChar w:fldCharType="end"/>
      </w:r>
    </w:p>
    <w:p>
      <w:pPr>
        <w:pStyle w:val="TOC3"/>
        <w:rPr>
          <w:rFonts w:ascii="Calibri" w:hAnsi="Calibri"/>
          <w:noProof/>
          <w:sz w:val="22"/>
        </w:rPr>
      </w:pPr>
      <w:r>
        <w:fldChar w:fldCharType="begin"/>
      </w:r>
      <w:r>
        <w:instrText xml:space="preserve"> HYPERLINK \l "_Toc256000156"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_Toc256000156 \h </w:instrText>
      </w:r>
      <w:r>
        <w:fldChar w:fldCharType="separate"/>
      </w:r>
      <w:r>
        <w:t>711</w:t>
      </w:r>
      <w:r>
        <w:fldChar w:fldCharType="end"/>
      </w:r>
      <w:r>
        <w:fldChar w:fldCharType="end"/>
      </w:r>
    </w:p>
    <w:p>
      <w:pPr>
        <w:pStyle w:val="TOC3"/>
        <w:rPr>
          <w:rFonts w:ascii="Calibri" w:hAnsi="Calibri"/>
          <w:noProof/>
          <w:sz w:val="22"/>
        </w:rPr>
      </w:pPr>
      <w:r>
        <w:fldChar w:fldCharType="begin"/>
      </w:r>
      <w:r>
        <w:instrText xml:space="preserve"> HYPERLINK \l "_Toc256000157"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_Toc256000157 \h </w:instrText>
      </w:r>
      <w:r>
        <w:fldChar w:fldCharType="separate"/>
      </w:r>
      <w:r>
        <w:t>712</w:t>
      </w:r>
      <w:r>
        <w:fldChar w:fldCharType="end"/>
      </w:r>
      <w:r>
        <w:fldChar w:fldCharType="end"/>
      </w:r>
    </w:p>
    <w:p>
      <w:pPr>
        <w:pStyle w:val="TOC3"/>
        <w:rPr>
          <w:rFonts w:ascii="Calibri" w:hAnsi="Calibri"/>
          <w:noProof/>
          <w:sz w:val="22"/>
        </w:rPr>
      </w:pPr>
      <w:r>
        <w:fldChar w:fldCharType="begin"/>
      </w:r>
      <w:r>
        <w:instrText xml:space="preserve"> HYPERLINK \l "_Toc256000158"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_Toc256000158 \h </w:instrText>
      </w:r>
      <w:r>
        <w:fldChar w:fldCharType="separate"/>
      </w:r>
      <w:r>
        <w:t>714</w:t>
      </w:r>
      <w:r>
        <w:fldChar w:fldCharType="end"/>
      </w:r>
      <w:r>
        <w:fldChar w:fldCharType="end"/>
      </w:r>
    </w:p>
    <w:p>
      <w:pPr>
        <w:pStyle w:val="TOC3"/>
        <w:rPr>
          <w:rFonts w:ascii="Calibri" w:hAnsi="Calibri"/>
          <w:noProof/>
          <w:sz w:val="22"/>
        </w:rPr>
      </w:pPr>
      <w:r>
        <w:fldChar w:fldCharType="begin"/>
      </w:r>
      <w:r>
        <w:instrText xml:space="preserve"> HYPERLINK \l "_Toc256000159"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_Toc256000159 \h </w:instrText>
      </w:r>
      <w:r>
        <w:fldChar w:fldCharType="separate"/>
      </w:r>
      <w:r>
        <w:t>716</w:t>
      </w:r>
      <w:r>
        <w:fldChar w:fldCharType="end"/>
      </w:r>
      <w:r>
        <w:fldChar w:fldCharType="end"/>
      </w:r>
    </w:p>
    <w:p>
      <w:pPr>
        <w:pStyle w:val="TOC3"/>
        <w:rPr>
          <w:rFonts w:ascii="Calibri" w:hAnsi="Calibri"/>
          <w:noProof/>
          <w:sz w:val="22"/>
        </w:rPr>
      </w:pPr>
      <w:r>
        <w:fldChar w:fldCharType="begin"/>
      </w:r>
      <w:r>
        <w:instrText xml:space="preserve"> HYPERLINK \l "_Toc256000160"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_Toc256000160 \h </w:instrText>
      </w:r>
      <w:r>
        <w:fldChar w:fldCharType="separate"/>
      </w:r>
      <w:r>
        <w:t>718</w:t>
      </w:r>
      <w:r>
        <w:fldChar w:fldCharType="end"/>
      </w:r>
      <w:r>
        <w:fldChar w:fldCharType="end"/>
      </w:r>
    </w:p>
    <w:p>
      <w:pPr>
        <w:pStyle w:val="TOC2"/>
        <w:rPr>
          <w:rFonts w:ascii="Calibri" w:hAnsi="Calibri"/>
          <w:noProof/>
          <w:sz w:val="22"/>
        </w:rPr>
      </w:pPr>
      <w:r>
        <w:fldChar w:fldCharType="begin"/>
      </w:r>
      <w:r>
        <w:instrText xml:space="preserve"> HYPERLINK \l "_Toc256000161"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_Toc256000161 \h </w:instrText>
      </w:r>
      <w:r>
        <w:fldChar w:fldCharType="separate"/>
      </w:r>
      <w:r>
        <w:t>719</w:t>
      </w:r>
      <w:r>
        <w:fldChar w:fldCharType="end"/>
      </w:r>
      <w:r>
        <w:fldChar w:fldCharType="end"/>
      </w:r>
    </w:p>
    <w:p>
      <w:pPr>
        <w:pStyle w:val="TOC1"/>
        <w:rPr>
          <w:rFonts w:ascii="Calibri" w:hAnsi="Calibri"/>
          <w:noProof/>
          <w:sz w:val="22"/>
        </w:rPr>
      </w:pPr>
      <w:r>
        <w:fldChar w:fldCharType="begin"/>
      </w:r>
      <w:r>
        <w:instrText xml:space="preserve"> HYPERLINK \l "_Toc256000162"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_Toc256000162 \h </w:instrText>
      </w:r>
      <w:r>
        <w:fldChar w:fldCharType="separate"/>
      </w:r>
      <w:r>
        <w:t>721</w:t>
      </w:r>
      <w:r>
        <w:fldChar w:fldCharType="end"/>
      </w:r>
      <w:r>
        <w:fldChar w:fldCharType="end"/>
      </w:r>
    </w:p>
    <w:p>
      <w:pPr>
        <w:pStyle w:val="TOC2"/>
        <w:rPr>
          <w:rFonts w:ascii="Calibri" w:hAnsi="Calibri"/>
          <w:noProof/>
          <w:sz w:val="22"/>
        </w:rPr>
      </w:pPr>
      <w:r>
        <w:fldChar w:fldCharType="begin"/>
      </w:r>
      <w:r>
        <w:instrText xml:space="preserve"> HYPERLINK \l "_Toc256000163"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_Toc256000163 \h </w:instrText>
      </w:r>
      <w:r>
        <w:fldChar w:fldCharType="separate"/>
      </w:r>
      <w:r>
        <w:t>721</w:t>
      </w:r>
      <w:r>
        <w:fldChar w:fldCharType="end"/>
      </w:r>
      <w:r>
        <w:fldChar w:fldCharType="end"/>
      </w:r>
    </w:p>
    <w:p>
      <w:pPr>
        <w:pStyle w:val="TOC3"/>
        <w:rPr>
          <w:rFonts w:ascii="Calibri" w:hAnsi="Calibri"/>
          <w:noProof/>
          <w:sz w:val="22"/>
        </w:rPr>
      </w:pPr>
      <w:r>
        <w:fldChar w:fldCharType="begin"/>
      </w:r>
      <w:r>
        <w:instrText xml:space="preserve"> HYPERLINK \l "_Toc256000164"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_Toc256000164 \h </w:instrText>
      </w:r>
      <w:r>
        <w:fldChar w:fldCharType="separate"/>
      </w:r>
      <w:r>
        <w:t>721</w:t>
      </w:r>
      <w:r>
        <w:fldChar w:fldCharType="end"/>
      </w:r>
      <w:r>
        <w:fldChar w:fldCharType="end"/>
      </w:r>
    </w:p>
    <w:p>
      <w:pPr>
        <w:pStyle w:val="TOC3"/>
        <w:rPr>
          <w:rFonts w:ascii="Calibri" w:hAnsi="Calibri"/>
          <w:noProof/>
          <w:sz w:val="22"/>
        </w:rPr>
      </w:pPr>
      <w:r>
        <w:fldChar w:fldCharType="begin"/>
      </w:r>
      <w:r>
        <w:instrText xml:space="preserve"> HYPERLINK \l "_Toc256000165"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_Toc256000165 \h </w:instrText>
      </w:r>
      <w:r>
        <w:fldChar w:fldCharType="separate"/>
      </w:r>
      <w:r>
        <w:t>724</w:t>
      </w:r>
      <w:r>
        <w:fldChar w:fldCharType="end"/>
      </w:r>
      <w:r>
        <w:fldChar w:fldCharType="end"/>
      </w:r>
    </w:p>
    <w:p>
      <w:pPr>
        <w:pStyle w:val="TOC3"/>
        <w:rPr>
          <w:rFonts w:ascii="Calibri" w:hAnsi="Calibri"/>
          <w:noProof/>
          <w:sz w:val="22"/>
        </w:rPr>
      </w:pPr>
      <w:r>
        <w:fldChar w:fldCharType="begin"/>
      </w:r>
      <w:r>
        <w:instrText xml:space="preserve"> HYPERLINK \l "_Toc256000166"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_Toc256000166 \h </w:instrText>
      </w:r>
      <w:r>
        <w:fldChar w:fldCharType="separate"/>
      </w:r>
      <w:r>
        <w:t>728</w:t>
      </w:r>
      <w:r>
        <w:fldChar w:fldCharType="end"/>
      </w:r>
      <w:r>
        <w:fldChar w:fldCharType="end"/>
      </w:r>
    </w:p>
    <w:p>
      <w:pPr>
        <w:pStyle w:val="TOC3"/>
        <w:rPr>
          <w:rFonts w:ascii="Calibri" w:hAnsi="Calibri"/>
          <w:noProof/>
          <w:sz w:val="22"/>
        </w:rPr>
      </w:pPr>
      <w:r>
        <w:fldChar w:fldCharType="begin"/>
      </w:r>
      <w:r>
        <w:instrText xml:space="preserve"> HYPERLINK \l "_Toc256000167"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_Toc256000167 \h </w:instrText>
      </w:r>
      <w:r>
        <w:fldChar w:fldCharType="separate"/>
      </w:r>
      <w:r>
        <w:t>731</w:t>
      </w:r>
      <w:r>
        <w:fldChar w:fldCharType="end"/>
      </w:r>
      <w:r>
        <w:fldChar w:fldCharType="end"/>
      </w:r>
    </w:p>
    <w:p>
      <w:pPr>
        <w:pStyle w:val="TOC3"/>
        <w:rPr>
          <w:rFonts w:ascii="Calibri" w:hAnsi="Calibri"/>
          <w:noProof/>
          <w:sz w:val="22"/>
        </w:rPr>
      </w:pPr>
      <w:r>
        <w:fldChar w:fldCharType="begin"/>
      </w:r>
      <w:r>
        <w:instrText xml:space="preserve"> HYPERLINK \l "_Toc256000168"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_Toc256000168 \h </w:instrText>
      </w:r>
      <w:r>
        <w:fldChar w:fldCharType="separate"/>
      </w:r>
      <w:r>
        <w:t>736</w:t>
      </w:r>
      <w:r>
        <w:fldChar w:fldCharType="end"/>
      </w:r>
      <w:r>
        <w:fldChar w:fldCharType="end"/>
      </w:r>
    </w:p>
    <w:p>
      <w:pPr>
        <w:pStyle w:val="TOC3"/>
        <w:rPr>
          <w:rFonts w:ascii="Calibri" w:hAnsi="Calibri"/>
          <w:noProof/>
          <w:sz w:val="22"/>
        </w:rPr>
      </w:pPr>
      <w:r>
        <w:fldChar w:fldCharType="begin"/>
      </w:r>
      <w:r>
        <w:instrText xml:space="preserve"> HYPERLINK \l "_Toc256000169"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_Toc256000169 \h </w:instrText>
      </w:r>
      <w:r>
        <w:fldChar w:fldCharType="separate"/>
      </w:r>
      <w:r>
        <w:t>742</w:t>
      </w:r>
      <w:r>
        <w:fldChar w:fldCharType="end"/>
      </w:r>
      <w:r>
        <w:fldChar w:fldCharType="end"/>
      </w:r>
    </w:p>
    <w:p>
      <w:pPr>
        <w:pStyle w:val="TOC2"/>
        <w:rPr>
          <w:rFonts w:ascii="Calibri" w:hAnsi="Calibri"/>
          <w:noProof/>
          <w:sz w:val="22"/>
        </w:rPr>
      </w:pPr>
      <w:r>
        <w:fldChar w:fldCharType="begin"/>
      </w:r>
      <w:r>
        <w:instrText xml:space="preserve"> HYPERLINK \l "_Toc256000170"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_Toc256000170 \h </w:instrText>
      </w:r>
      <w:r>
        <w:fldChar w:fldCharType="separate"/>
      </w:r>
      <w:r>
        <w:t>747</w:t>
      </w:r>
      <w:r>
        <w:fldChar w:fldCharType="end"/>
      </w:r>
      <w:r>
        <w:fldChar w:fldCharType="end"/>
      </w:r>
    </w:p>
    <w:p>
      <w:pPr>
        <w:pStyle w:val="TOC2"/>
        <w:rPr>
          <w:rFonts w:ascii="Calibri" w:hAnsi="Calibri"/>
          <w:noProof/>
          <w:sz w:val="22"/>
        </w:rPr>
      </w:pPr>
      <w:r>
        <w:fldChar w:fldCharType="begin"/>
      </w:r>
      <w:r>
        <w:instrText xml:space="preserve"> HYPERLINK \l "_Toc256000171"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_Toc256000171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"_Toc256000172"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_Toc256000172 \h </w:instrText>
      </w:r>
      <w:r>
        <w:fldChar w:fldCharType="separate"/>
      </w:r>
      <w:r>
        <w:t>754</w:t>
      </w:r>
      <w:r>
        <w:fldChar w:fldCharType="end"/>
      </w:r>
      <w:r>
        <w:fldChar w:fldCharType="end"/>
      </w:r>
    </w:p>
    <w:p>
      <w:pPr>
        <w:pStyle w:val="TOC3"/>
        <w:rPr>
          <w:rFonts w:ascii="Calibri" w:hAnsi="Calibri"/>
          <w:noProof/>
          <w:sz w:val="22"/>
        </w:rPr>
      </w:pPr>
      <w:r>
        <w:fldChar w:fldCharType="begin"/>
      </w:r>
      <w:r>
        <w:instrText xml:space="preserve"> HYPERLINK \l "_Toc256000173"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_Toc256000173 \h </w:instrText>
      </w:r>
      <w:r>
        <w:fldChar w:fldCharType="separate"/>
      </w:r>
      <w:r>
        <w:t>754</w:t>
      </w:r>
      <w:r>
        <w:fldChar w:fldCharType="end"/>
      </w:r>
      <w:r>
        <w:fldChar w:fldCharType="end"/>
      </w:r>
    </w:p>
    <w:p>
      <w:pPr>
        <w:pStyle w:val="TOC3"/>
        <w:rPr>
          <w:rFonts w:ascii="Calibri" w:hAnsi="Calibri"/>
          <w:noProof/>
          <w:sz w:val="22"/>
        </w:rPr>
      </w:pPr>
      <w:r>
        <w:fldChar w:fldCharType="begin"/>
      </w:r>
      <w:r>
        <w:instrText xml:space="preserve"> HYPERLINK \l "_Toc256000174"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_Toc256000174 \h </w:instrText>
      </w:r>
      <w:r>
        <w:fldChar w:fldCharType="separate"/>
      </w:r>
      <w:r>
        <w:t>758</w:t>
      </w:r>
      <w:r>
        <w:fldChar w:fldCharType="end"/>
      </w:r>
      <w:r>
        <w:fldChar w:fldCharType="end"/>
      </w:r>
    </w:p>
    <w:p>
      <w:pPr>
        <w:pStyle w:val="TOC2"/>
        <w:rPr>
          <w:rFonts w:ascii="Calibri" w:hAnsi="Calibri"/>
          <w:noProof/>
          <w:sz w:val="22"/>
        </w:rPr>
      </w:pPr>
      <w:r>
        <w:fldChar w:fldCharType="begin"/>
      </w:r>
      <w:r>
        <w:instrText xml:space="preserve"> HYPERLINK \l "_Toc256000175"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_Toc256000175 \h </w:instrText>
      </w:r>
      <w:r>
        <w:fldChar w:fldCharType="separate"/>
      </w:r>
      <w:r>
        <w:t>759</w:t>
      </w:r>
      <w:r>
        <w:fldChar w:fldCharType="end"/>
      </w:r>
      <w:r>
        <w:fldChar w:fldCharType="end"/>
      </w:r>
    </w:p>
    <w:p>
      <w:pPr>
        <w:pStyle w:val="TOC1"/>
        <w:rPr>
          <w:rFonts w:ascii="Calibri" w:hAnsi="Calibri"/>
          <w:noProof/>
          <w:sz w:val="22"/>
        </w:rPr>
      </w:pPr>
      <w:r>
        <w:fldChar w:fldCharType="begin"/>
      </w:r>
      <w:r>
        <w:instrText xml:space="preserve"> HYPERLINK \l "_Toc256000176"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_Toc256000176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"_Toc256000177"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_Toc256000177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"_Toc256000178"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_Toc256000178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"_Toc256000179"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_Toc256000179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"_Toc256000180"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_Toc256000180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"_Toc256000181"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_Toc256000181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"_Toc256000182"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_Toc256000182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"_Toc256000183"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_Toc256000183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"_Toc256000184"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_Toc256000184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"_Toc256000185"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_Toc256000185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"_Toc256000186"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_Toc256000186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"_Toc256000187"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_Toc256000187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"_Toc256000188"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_Toc256000188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"_Toc256000189"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_Toc256000189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"_Toc256000190"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_Toc256000190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"_Toc256000191"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_Toc256000191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"_Toc256000192"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_Toc256000192 \h </w:instrText>
      </w:r>
      <w:r>
        <w:fldChar w:fldCharType="separate"/>
      </w:r>
      <w:r>
        <w:t>764</w:t>
      </w:r>
      <w:r>
        <w:fldChar w:fldCharType="end"/>
      </w:r>
      <w:r>
        <w:fldChar w:fldCharType="end"/>
      </w:r>
    </w:p>
    <w:p>
      <w:pPr>
        <w:pStyle w:val="TOC1"/>
        <w:rPr>
          <w:rFonts w:ascii="Calibri" w:hAnsi="Calibri"/>
          <w:noProof/>
          <w:sz w:val="22"/>
        </w:rPr>
      </w:pPr>
      <w:r>
        <w:fldChar w:fldCharType="begin"/>
      </w:r>
      <w:r>
        <w:instrText xml:space="preserve"> HYPERLINK \l "_Toc256000193"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_Toc256000193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"_Toc256000194"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_Toc256000194 \h </w:instrText>
      </w:r>
      <w:r>
        <w:fldChar w:fldCharType="separate"/>
      </w:r>
      <w:r>
        <w:t>768</w:t>
      </w:r>
      <w:r>
        <w:fldChar w:fldCharType="end"/>
      </w:r>
      <w:r>
        <w:fldChar w:fldCharType="end"/>
      </w:r>
    </w:p>
    <w:p>
      <w:pPr>
        <w:pStyle w:val="TOC2"/>
        <w:rPr>
          <w:rFonts w:ascii="Calibri" w:hAnsi="Calibri"/>
          <w:noProof/>
          <w:sz w:val="22"/>
        </w:rPr>
      </w:pPr>
      <w:r>
        <w:fldChar w:fldCharType="begin"/>
      </w:r>
      <w:r>
        <w:instrText xml:space="preserve"> HYPERLINK \l "_Toc256000195"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_Toc256000195 \h </w:instrText>
      </w:r>
      <w:r>
        <w:fldChar w:fldCharType="separate"/>
      </w:r>
      <w:r>
        <w:t>768</w:t>
      </w:r>
      <w:r>
        <w:fldChar w:fldCharType="end"/>
      </w:r>
      <w:r>
        <w:fldChar w:fldCharType="end"/>
      </w:r>
    </w:p>
    <w:p>
      <w:pPr>
        <w:pStyle w:val="TOC2"/>
        <w:rPr>
          <w:rFonts w:ascii="Calibri" w:hAnsi="Calibri"/>
          <w:noProof/>
          <w:sz w:val="22"/>
        </w:rPr>
      </w:pPr>
      <w:r>
        <w:fldChar w:fldCharType="begin"/>
      </w:r>
      <w:r>
        <w:instrText xml:space="preserve"> HYPERLINK \l "_Toc256000196"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_Toc256000196 \h </w:instrText>
      </w:r>
      <w:r>
        <w:fldChar w:fldCharType="separate"/>
      </w:r>
      <w:r>
        <w:t>769</w:t>
      </w:r>
      <w:r>
        <w:fldChar w:fldCharType="end"/>
      </w:r>
      <w:r>
        <w:fldChar w:fldCharType="end"/>
      </w:r>
    </w:p>
    <w:p>
      <w:pPr>
        <w:pStyle w:val="TOC2"/>
        <w:rPr>
          <w:rFonts w:ascii="Calibri" w:hAnsi="Calibri"/>
          <w:noProof/>
          <w:sz w:val="22"/>
        </w:rPr>
      </w:pPr>
      <w:r>
        <w:fldChar w:fldCharType="begin"/>
      </w:r>
      <w:r>
        <w:instrText xml:space="preserve"> HYPERLINK \l "_Toc256000197"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_Toc256000197 \h </w:instrText>
      </w:r>
      <w:r>
        <w:fldChar w:fldCharType="separate"/>
      </w:r>
      <w:r>
        <w:t>769</w:t>
      </w:r>
      <w:r>
        <w:fldChar w:fldCharType="end"/>
      </w:r>
      <w:r>
        <w:fldChar w:fldCharType="end"/>
      </w:r>
    </w:p>
    <w:p>
      <w:pPr>
        <w:pStyle w:val="TOC2"/>
        <w:rPr>
          <w:rFonts w:ascii="Calibri" w:hAnsi="Calibri"/>
          <w:noProof/>
          <w:sz w:val="22"/>
        </w:rPr>
      </w:pPr>
      <w:r>
        <w:fldChar w:fldCharType="begin"/>
      </w:r>
      <w:r>
        <w:instrText xml:space="preserve"> HYPERLINK \l "_Toc256000198"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_Toc256000198 \h </w:instrText>
      </w:r>
      <w:r>
        <w:fldChar w:fldCharType="separate"/>
      </w:r>
      <w:r>
        <w:t>770</w:t>
      </w:r>
      <w:r>
        <w:fldChar w:fldCharType="end"/>
      </w:r>
      <w:r>
        <w:fldChar w:fldCharType="end"/>
      </w:r>
    </w:p>
    <w:p>
      <w:pPr>
        <w:pStyle w:val="TOC2"/>
        <w:rPr>
          <w:rFonts w:ascii="Calibri" w:hAnsi="Calibri"/>
          <w:noProof/>
          <w:sz w:val="22"/>
        </w:rPr>
      </w:pPr>
      <w:r>
        <w:fldChar w:fldCharType="begin"/>
      </w:r>
      <w:r>
        <w:instrText xml:space="preserve"> HYPERLINK \l "_Toc256000199"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_Toc256000199 \h </w:instrText>
      </w:r>
      <w:r>
        <w:fldChar w:fldCharType="separate"/>
      </w:r>
      <w:r>
        <w:t>770</w:t>
      </w:r>
      <w:r>
        <w:fldChar w:fldCharType="end"/>
      </w:r>
      <w:r>
        <w:fldChar w:fldCharType="end"/>
      </w:r>
    </w:p>
    <w:p>
      <w:pPr>
        <w:pStyle w:val="TOC2"/>
        <w:rPr>
          <w:rFonts w:ascii="Calibri" w:hAnsi="Calibri"/>
          <w:noProof/>
          <w:sz w:val="22"/>
        </w:rPr>
      </w:pPr>
      <w:r>
        <w:fldChar w:fldCharType="begin"/>
      </w:r>
      <w:r>
        <w:instrText xml:space="preserve"> HYPERLINK \l "_Toc256000200"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_Toc256000200 \h </w:instrText>
      </w:r>
      <w:r>
        <w:fldChar w:fldCharType="separate"/>
      </w:r>
      <w:r>
        <w:t>771</w:t>
      </w:r>
      <w:r>
        <w:fldChar w:fldCharType="end"/>
      </w:r>
      <w:r>
        <w:fldChar w:fldCharType="end"/>
      </w:r>
    </w:p>
    <w:p>
      <w:pPr>
        <w:pStyle w:val="TOC2"/>
        <w:rPr>
          <w:rFonts w:ascii="Calibri" w:hAnsi="Calibri"/>
          <w:noProof/>
          <w:sz w:val="22"/>
        </w:rPr>
      </w:pPr>
      <w:r>
        <w:fldChar w:fldCharType="begin"/>
      </w:r>
      <w:r>
        <w:instrText xml:space="preserve"> HYPERLINK \l "_Toc256000201"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_Toc256000201 \h </w:instrText>
      </w:r>
      <w:r>
        <w:fldChar w:fldCharType="separate"/>
      </w:r>
      <w:r>
        <w:t>771</w:t>
      </w:r>
      <w:r>
        <w:fldChar w:fldCharType="end"/>
      </w:r>
      <w:r>
        <w:fldChar w:fldCharType="end"/>
      </w:r>
    </w:p>
    <w:p>
      <w:pPr>
        <w:pStyle w:val="TOC2"/>
        <w:rPr>
          <w:rFonts w:ascii="Calibri" w:hAnsi="Calibri"/>
          <w:noProof/>
          <w:sz w:val="22"/>
        </w:rPr>
      </w:pPr>
      <w:r>
        <w:fldChar w:fldCharType="begin"/>
      </w:r>
      <w:r>
        <w:instrText xml:space="preserve"> HYPERLINK \l "_Toc256000202"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_Toc256000202 \h </w:instrText>
      </w:r>
      <w:r>
        <w:fldChar w:fldCharType="separate"/>
      </w:r>
      <w:r>
        <w:t>772</w:t>
      </w:r>
      <w:r>
        <w:fldChar w:fldCharType="end"/>
      </w:r>
      <w:r>
        <w:fldChar w:fldCharType="end"/>
      </w:r>
    </w:p>
    <w:p>
      <w:pPr>
        <w:pStyle w:val="TOC2"/>
        <w:rPr>
          <w:rFonts w:ascii="Calibri" w:hAnsi="Calibri"/>
          <w:noProof/>
          <w:sz w:val="22"/>
        </w:rPr>
      </w:pPr>
      <w:r>
        <w:fldChar w:fldCharType="begin"/>
      </w:r>
      <w:r>
        <w:instrText xml:space="preserve"> HYPERLINK \l "_Toc256000203"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_Toc256000203 \h </w:instrText>
      </w:r>
      <w:r>
        <w:fldChar w:fldCharType="separate"/>
      </w:r>
      <w:r>
        <w:t>772</w:t>
      </w:r>
      <w:r>
        <w:fldChar w:fldCharType="end"/>
      </w:r>
      <w:r>
        <w:fldChar w:fldCharType="end"/>
      </w:r>
    </w:p>
    <w:p>
      <w:pPr>
        <w:pStyle w:val="TOC2"/>
        <w:rPr>
          <w:rFonts w:ascii="Calibri" w:hAnsi="Calibri"/>
          <w:noProof/>
          <w:sz w:val="22"/>
        </w:rPr>
      </w:pPr>
      <w:r>
        <w:fldChar w:fldCharType="begin"/>
      </w:r>
      <w:r>
        <w:instrText xml:space="preserve"> HYPERLINK \l "_Toc256000204"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_Toc256000204 \h </w:instrText>
      </w:r>
      <w:r>
        <w:fldChar w:fldCharType="separate"/>
      </w:r>
      <w:r>
        <w:t>773</w:t>
      </w:r>
      <w:r>
        <w:fldChar w:fldCharType="end"/>
      </w:r>
      <w:r>
        <w:fldChar w:fldCharType="end"/>
      </w:r>
    </w:p>
    <w:p>
      <w:pPr>
        <w:pStyle w:val="TOC2"/>
        <w:rPr>
          <w:rFonts w:ascii="Calibri" w:hAnsi="Calibri"/>
          <w:noProof/>
          <w:sz w:val="22"/>
        </w:rPr>
      </w:pPr>
      <w:r>
        <w:fldChar w:fldCharType="begin"/>
      </w:r>
      <w:r>
        <w:instrText xml:space="preserve"> HYPERLINK \l "_Toc256000205"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_Toc256000205 \h </w:instrText>
      </w:r>
      <w:r>
        <w:fldChar w:fldCharType="separate"/>
      </w:r>
      <w:r>
        <w:t>773</w:t>
      </w:r>
      <w:r>
        <w:fldChar w:fldCharType="end"/>
      </w:r>
      <w:r>
        <w:fldChar w:fldCharType="end"/>
      </w:r>
    </w:p>
    <w:p>
      <w:pPr>
        <w:pStyle w:val="TOC2"/>
        <w:rPr>
          <w:rFonts w:ascii="Calibri" w:hAnsi="Calibri"/>
          <w:noProof/>
          <w:sz w:val="22"/>
        </w:rPr>
      </w:pPr>
      <w:r>
        <w:fldChar w:fldCharType="begin"/>
      </w:r>
      <w:r>
        <w:instrText xml:space="preserve"> HYPERLINK \l "_Toc256000206"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_Toc256000206 \h </w:instrText>
      </w:r>
      <w:r>
        <w:fldChar w:fldCharType="separate"/>
      </w:r>
      <w:r>
        <w:t>774</w:t>
      </w:r>
      <w:r>
        <w:fldChar w:fldCharType="end"/>
      </w:r>
      <w:r>
        <w:fldChar w:fldCharType="end"/>
      </w:r>
    </w:p>
    <w:p>
      <w:pPr>
        <w:pStyle w:val="TOC2"/>
        <w:rPr>
          <w:rFonts w:ascii="Calibri" w:hAnsi="Calibri"/>
          <w:noProof/>
          <w:sz w:val="22"/>
        </w:rPr>
      </w:pPr>
      <w:r>
        <w:fldChar w:fldCharType="begin"/>
      </w:r>
      <w:r>
        <w:instrText xml:space="preserve"> HYPERLINK \l "_Toc256000207"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_Toc256000207 \h </w:instrText>
      </w:r>
      <w:r>
        <w:fldChar w:fldCharType="separate"/>
      </w:r>
      <w:r>
        <w:t>774</w:t>
      </w:r>
      <w:r>
        <w:fldChar w:fldCharType="end"/>
      </w:r>
      <w:r>
        <w:fldChar w:fldCharType="end"/>
      </w:r>
    </w:p>
    <w:p>
      <w:pPr>
        <w:pStyle w:val="TOC2"/>
        <w:rPr>
          <w:rFonts w:ascii="Calibri" w:hAnsi="Calibri"/>
          <w:noProof/>
          <w:sz w:val="22"/>
        </w:rPr>
      </w:pPr>
      <w:r>
        <w:fldChar w:fldCharType="begin"/>
      </w:r>
      <w:r>
        <w:instrText xml:space="preserve"> HYPERLINK \l "_Toc256000208"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_Toc256000208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"_Toc256000209"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_Toc256000209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"_Toc256000210"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_Toc256000210 \h </w:instrText>
      </w:r>
      <w:r>
        <w:fldChar w:fldCharType="separate"/>
      </w:r>
      <w:r>
        <w:t>776</w:t>
      </w:r>
      <w:r>
        <w:fldChar w:fldCharType="end"/>
      </w:r>
      <w:r>
        <w:fldChar w:fldCharType="end"/>
      </w:r>
    </w:p>
    <w:p>
      <w:pPr>
        <w:pStyle w:val="TOC2"/>
        <w:rPr>
          <w:rFonts w:ascii="Calibri" w:hAnsi="Calibri"/>
          <w:noProof/>
          <w:sz w:val="22"/>
        </w:rPr>
      </w:pPr>
      <w:r>
        <w:fldChar w:fldCharType="begin"/>
      </w:r>
      <w:r>
        <w:instrText xml:space="preserve"> HYPERLINK \l "_Toc256000211"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_Toc256000211 \h </w:instrText>
      </w:r>
      <w:r>
        <w:fldChar w:fldCharType="separate"/>
      </w:r>
      <w:r>
        <w:t>776</w:t>
      </w:r>
      <w:r>
        <w:fldChar w:fldCharType="end"/>
      </w:r>
      <w:r>
        <w:fldChar w:fldCharType="end"/>
      </w:r>
    </w:p>
    <w:p>
      <w:pPr>
        <w:pStyle w:val="TOC2"/>
        <w:rPr>
          <w:rFonts w:ascii="Calibri" w:hAnsi="Calibri"/>
          <w:noProof/>
          <w:sz w:val="22"/>
        </w:rPr>
      </w:pPr>
      <w:r>
        <w:fldChar w:fldCharType="begin"/>
      </w:r>
      <w:r>
        <w:instrText xml:space="preserve"> HYPERLINK \l "_Toc256000212"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_Toc256000212 \h </w:instrText>
      </w:r>
      <w:r>
        <w:fldChar w:fldCharType="separate"/>
      </w:r>
      <w:r>
        <w:t>776</w:t>
      </w:r>
      <w:r>
        <w:fldChar w:fldCharType="end"/>
      </w:r>
      <w:r>
        <w:fldChar w:fldCharType="end"/>
      </w:r>
    </w:p>
    <w:p>
      <w:pPr>
        <w:pStyle w:val="TOC2"/>
        <w:rPr>
          <w:rFonts w:ascii="Calibri" w:hAnsi="Calibri"/>
          <w:noProof/>
          <w:sz w:val="22"/>
        </w:rPr>
      </w:pPr>
      <w:r>
        <w:fldChar w:fldCharType="begin"/>
      </w:r>
      <w:r>
        <w:instrText xml:space="preserve"> HYPERLINK \l "_Toc256000213"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_Toc256000213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"_Toc256000214"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_Toc256000214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"_Toc256000215"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_Toc256000215 \h </w:instrText>
      </w:r>
      <w:r>
        <w:fldChar w:fldCharType="separate"/>
      </w:r>
      <w:r>
        <w:t>778</w:t>
      </w:r>
      <w:r>
        <w:fldChar w:fldCharType="end"/>
      </w:r>
      <w:r>
        <w:fldChar w:fldCharType="end"/>
      </w:r>
    </w:p>
    <w:p>
      <w:pPr>
        <w:pStyle w:val="TOC1"/>
        <w:rPr>
          <w:rFonts w:ascii="Calibri" w:hAnsi="Calibri"/>
          <w:noProof/>
          <w:sz w:val="22"/>
        </w:rPr>
      </w:pPr>
      <w:r>
        <w:fldChar w:fldCharType="begin"/>
      </w:r>
      <w:r>
        <w:instrText xml:space="preserve"> HYPERLINK \l "_Toc256000216"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_Toc256000216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"_Toc256000217"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_Toc256000217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"_Toc256000218"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_Toc256000218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"_Toc256000219"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_Toc256000219 \h </w:instrText>
      </w:r>
      <w:r>
        <w:fldChar w:fldCharType="separate"/>
      </w:r>
      <w:r>
        <w:t>788</w:t>
      </w:r>
      <w:r>
        <w:fldChar w:fldCharType="end"/>
      </w:r>
      <w:r>
        <w:fldChar w:fldCharType="end"/>
      </w:r>
    </w:p>
    <w:p>
      <w:pPr>
        <w:pStyle w:val="TOC2"/>
        <w:rPr>
          <w:rFonts w:ascii="Calibri" w:hAnsi="Calibri"/>
          <w:noProof/>
          <w:sz w:val="22"/>
        </w:rPr>
      </w:pPr>
      <w:r>
        <w:fldChar w:fldCharType="begin"/>
      </w:r>
      <w:r>
        <w:instrText xml:space="preserve"> HYPERLINK \l "_Toc256000220"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_Toc256000220 \h </w:instrText>
      </w:r>
      <w:r>
        <w:fldChar w:fldCharType="separate"/>
      </w:r>
      <w:r>
        <w:t>788</w:t>
      </w:r>
      <w:r>
        <w:fldChar w:fldCharType="end"/>
      </w:r>
      <w:r>
        <w:fldChar w:fldCharType="end"/>
      </w:r>
    </w:p>
    <w:p>
      <w:pPr>
        <w:pStyle w:val="TOC1"/>
        <w:rPr>
          <w:rFonts w:ascii="Calibri" w:hAnsi="Calibri"/>
          <w:noProof/>
          <w:sz w:val="22"/>
        </w:rPr>
      </w:pPr>
      <w:r>
        <w:fldChar w:fldCharType="begin"/>
      </w:r>
      <w:r>
        <w:instrText xml:space="preserve"> HYPERLINK \l "_Toc256000221"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_Toc256000221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"_Toc256000222"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_Toc256000222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"_Toc256000223"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_Toc256000223 \h </w:instrText>
      </w:r>
      <w:r>
        <w:fldChar w:fldCharType="separate"/>
      </w:r>
      <w:r>
        <w:t>791</w:t>
      </w:r>
      <w:r>
        <w:fldChar w:fldCharType="end"/>
      </w:r>
      <w:r>
        <w:fldChar w:fldCharType="end"/>
      </w:r>
    </w:p>
    <w:p>
      <w:pPr>
        <w:pStyle w:val="TOC3"/>
        <w:rPr>
          <w:rFonts w:ascii="Calibri" w:hAnsi="Calibri"/>
          <w:noProof/>
          <w:sz w:val="22"/>
        </w:rPr>
      </w:pPr>
      <w:r>
        <w:fldChar w:fldCharType="begin"/>
      </w:r>
      <w:r>
        <w:instrText xml:space="preserve"> HYPERLINK \l "_Toc256000224"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_Toc256000224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"_Toc256000225"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_Toc256000225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"_Toc256000226"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_Toc256000226 \h </w:instrText>
      </w:r>
      <w:r>
        <w:fldChar w:fldCharType="separate"/>
      </w:r>
      <w:r>
        <w:t>797</w:t>
      </w:r>
      <w:r>
        <w:fldChar w:fldCharType="end"/>
      </w:r>
      <w:r>
        <w:fldChar w:fldCharType="end"/>
      </w:r>
    </w:p>
    <w:p>
      <w:pPr>
        <w:pStyle w:val="TOC2"/>
        <w:rPr>
          <w:rFonts w:ascii="Calibri" w:hAnsi="Calibri"/>
          <w:noProof/>
          <w:sz w:val="22"/>
        </w:rPr>
      </w:pPr>
      <w:r>
        <w:fldChar w:fldCharType="begin"/>
      </w:r>
      <w:r>
        <w:instrText xml:space="preserve"> HYPERLINK \l "_Toc256000227"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_Toc256000227 \h </w:instrText>
      </w:r>
      <w:r>
        <w:fldChar w:fldCharType="separate"/>
      </w:r>
      <w:r>
        <w:t>802</w:t>
      </w:r>
      <w:r>
        <w:fldChar w:fldCharType="end"/>
      </w:r>
      <w:r>
        <w:fldChar w:fldCharType="end"/>
      </w:r>
    </w:p>
    <w:p>
      <w:pPr>
        <w:pStyle w:val="TOC2"/>
        <w:rPr>
          <w:rFonts w:ascii="Calibri" w:hAnsi="Calibri"/>
          <w:noProof/>
          <w:sz w:val="22"/>
        </w:rPr>
      </w:pPr>
      <w:r>
        <w:fldChar w:fldCharType="begin"/>
      </w:r>
      <w:r>
        <w:instrText xml:space="preserve"> HYPERLINK \l "_Toc256000228"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_Toc256000228 \h </w:instrText>
      </w:r>
      <w:r>
        <w:fldChar w:fldCharType="separate"/>
      </w:r>
      <w:r>
        <w:t>803</w:t>
      </w:r>
      <w:r>
        <w:fldChar w:fldCharType="end"/>
      </w:r>
      <w:r>
        <w:fldChar w:fldCharType="end"/>
      </w:r>
    </w:p>
    <w:p>
      <w:pPr>
        <w:pStyle w:val="TOC2"/>
        <w:rPr>
          <w:rFonts w:ascii="Calibri" w:hAnsi="Calibri"/>
          <w:noProof/>
          <w:sz w:val="22"/>
        </w:rPr>
      </w:pPr>
      <w:r>
        <w:fldChar w:fldCharType="begin"/>
      </w:r>
      <w:r>
        <w:instrText xml:space="preserve"> HYPERLINK \l "_Toc256000229"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_Toc256000229 \h </w:instrText>
      </w:r>
      <w:r>
        <w:fldChar w:fldCharType="separate"/>
      </w:r>
      <w:r>
        <w:t>807</w:t>
      </w:r>
      <w:r>
        <w:fldChar w:fldCharType="end"/>
      </w:r>
      <w:r>
        <w:fldChar w:fldCharType="end"/>
      </w:r>
    </w:p>
    <w:p>
      <w:pPr>
        <w:pStyle w:val="TOC1"/>
        <w:rPr>
          <w:rFonts w:ascii="Calibri" w:hAnsi="Calibri"/>
          <w:noProof/>
          <w:sz w:val="22"/>
        </w:rPr>
      </w:pPr>
      <w:r>
        <w:fldChar w:fldCharType="begin"/>
      </w:r>
      <w:r>
        <w:instrText xml:space="preserve"> HYPERLINK \l "_Toc256000230"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_Toc256000230 \h </w:instrText>
      </w:r>
      <w:r>
        <w:fldChar w:fldCharType="separate"/>
      </w:r>
      <w:r>
        <w:t>811</w:t>
      </w:r>
      <w:r>
        <w:fldChar w:fldCharType="end"/>
      </w:r>
      <w:r>
        <w:fldChar w:fldCharType="end"/>
      </w:r>
    </w:p>
    <w:p>
      <w:pPr>
        <w:pStyle w:val="TOC2"/>
        <w:rPr>
          <w:rFonts w:ascii="Calibri" w:hAnsi="Calibri"/>
          <w:noProof/>
          <w:sz w:val="22"/>
        </w:rPr>
      </w:pPr>
      <w:r>
        <w:fldChar w:fldCharType="begin"/>
      </w:r>
      <w:r>
        <w:instrText xml:space="preserve"> HYPERLINK \l "_Toc256000231"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_Toc256000231 \h </w:instrText>
      </w:r>
      <w:r>
        <w:fldChar w:fldCharType="separate"/>
      </w:r>
      <w:r>
        <w:t>811</w:t>
      </w:r>
      <w:r>
        <w:fldChar w:fldCharType="end"/>
      </w:r>
      <w:r>
        <w:fldChar w:fldCharType="end"/>
      </w:r>
    </w:p>
    <w:p>
      <w:pPr>
        <w:pStyle w:val="TOC3"/>
        <w:rPr>
          <w:rFonts w:ascii="Calibri" w:hAnsi="Calibri"/>
          <w:noProof/>
          <w:sz w:val="22"/>
        </w:rPr>
      </w:pPr>
      <w:r>
        <w:fldChar w:fldCharType="begin"/>
      </w:r>
      <w:r>
        <w:instrText xml:space="preserve"> HYPERLINK \l "_Toc256000232"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811</w:t>
      </w:r>
      <w:r>
        <w:fldChar w:fldCharType="end"/>
      </w:r>
      <w:r>
        <w:fldChar w:fldCharType="end"/>
      </w:r>
    </w:p>
    <w:p>
      <w:pPr>
        <w:pStyle w:val="TOC3"/>
        <w:rPr>
          <w:rFonts w:ascii="Calibri" w:hAnsi="Calibri"/>
          <w:noProof/>
          <w:sz w:val="22"/>
        </w:rPr>
      </w:pPr>
      <w:r>
        <w:fldChar w:fldCharType="begin"/>
      </w:r>
      <w:r>
        <w:instrText xml:space="preserve"> HYPERLINK \l "_Toc256000233"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811</w:t>
      </w:r>
      <w:r>
        <w:fldChar w:fldCharType="end"/>
      </w:r>
      <w:r>
        <w:fldChar w:fldCharType="end"/>
      </w:r>
    </w:p>
    <w:p>
      <w:pPr>
        <w:pStyle w:val="TOC2"/>
        <w:rPr>
          <w:rFonts w:ascii="Calibri" w:hAnsi="Calibri"/>
          <w:noProof/>
          <w:sz w:val="22"/>
        </w:rPr>
      </w:pPr>
      <w:r>
        <w:fldChar w:fldCharType="begin"/>
      </w:r>
      <w:r>
        <w:instrText xml:space="preserve"> HYPERLINK \l "_Toc256000234"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_Toc256000234 \h </w:instrText>
      </w:r>
      <w:r>
        <w:fldChar w:fldCharType="separate"/>
      </w:r>
      <w:r>
        <w:t>811</w:t>
      </w:r>
      <w:r>
        <w:fldChar w:fldCharType="end"/>
      </w:r>
      <w:r>
        <w:fldChar w:fldCharType="end"/>
      </w:r>
    </w:p>
    <w:p>
      <w:pPr>
        <w:pStyle w:val="TOC3"/>
        <w:rPr>
          <w:rFonts w:ascii="Calibri" w:hAnsi="Calibri"/>
          <w:noProof/>
          <w:sz w:val="22"/>
        </w:rPr>
      </w:pPr>
      <w:r>
        <w:fldChar w:fldCharType="begin"/>
      </w:r>
      <w:r>
        <w:instrText xml:space="preserve"> HYPERLINK \l "_Toc256000235"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811</w:t>
      </w:r>
      <w:r>
        <w:fldChar w:fldCharType="end"/>
      </w:r>
      <w:r>
        <w:fldChar w:fldCharType="end"/>
      </w:r>
    </w:p>
    <w:p>
      <w:pPr>
        <w:pStyle w:val="TOC3"/>
        <w:rPr>
          <w:rFonts w:ascii="Calibri" w:hAnsi="Calibri"/>
          <w:noProof/>
          <w:sz w:val="22"/>
        </w:rPr>
      </w:pPr>
      <w:r>
        <w:fldChar w:fldCharType="begin"/>
      </w:r>
      <w:r>
        <w:instrText xml:space="preserve"> HYPERLINK \l "_Toc256000236"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811</w:t>
      </w:r>
      <w:r>
        <w:fldChar w:fldCharType="end"/>
      </w:r>
      <w:r>
        <w:fldChar w:fldCharType="end"/>
      </w:r>
    </w:p>
    <w:p>
      <w:pPr>
        <w:pStyle w:val="TOC2"/>
        <w:rPr>
          <w:rFonts w:ascii="Calibri" w:hAnsi="Calibri"/>
          <w:noProof/>
          <w:sz w:val="22"/>
        </w:rPr>
      </w:pPr>
      <w:r>
        <w:fldChar w:fldCharType="begin"/>
      </w:r>
      <w:r>
        <w:instrText xml:space="preserve"> HYPERLINK \l "_Toc256000237"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_Toc256000237 \h </w:instrText>
      </w:r>
      <w:r>
        <w:fldChar w:fldCharType="separate"/>
      </w:r>
      <w:r>
        <w:t>812</w:t>
      </w:r>
      <w:r>
        <w:fldChar w:fldCharType="end"/>
      </w:r>
      <w:r>
        <w:fldChar w:fldCharType="end"/>
      </w:r>
    </w:p>
    <w:p>
      <w:pPr>
        <w:pStyle w:val="TOC3"/>
        <w:rPr>
          <w:rFonts w:ascii="Calibri" w:hAnsi="Calibri"/>
          <w:noProof/>
          <w:sz w:val="22"/>
        </w:rPr>
      </w:pPr>
      <w:r>
        <w:fldChar w:fldCharType="begin"/>
      </w:r>
      <w:r>
        <w:instrText xml:space="preserve"> HYPERLINK \l "_Toc256000238"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812</w:t>
      </w:r>
      <w:r>
        <w:fldChar w:fldCharType="end"/>
      </w:r>
      <w:r>
        <w:fldChar w:fldCharType="end"/>
      </w:r>
    </w:p>
    <w:p>
      <w:pPr>
        <w:pStyle w:val="TOC3"/>
        <w:rPr>
          <w:rFonts w:ascii="Calibri" w:hAnsi="Calibri"/>
          <w:noProof/>
          <w:sz w:val="22"/>
        </w:rPr>
      </w:pPr>
      <w:r>
        <w:fldChar w:fldCharType="begin"/>
      </w:r>
      <w:r>
        <w:instrText xml:space="preserve"> HYPERLINK \l "_Toc256000239"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812</w:t>
      </w:r>
      <w:r>
        <w:fldChar w:fldCharType="end"/>
      </w:r>
      <w:r>
        <w:fldChar w:fldCharType="end"/>
      </w:r>
    </w:p>
    <w:p>
      <w:pPr>
        <w:pStyle w:val="TOC2"/>
        <w:rPr>
          <w:rFonts w:ascii="Calibri" w:hAnsi="Calibri"/>
          <w:noProof/>
          <w:sz w:val="22"/>
        </w:rPr>
      </w:pPr>
      <w:r>
        <w:fldChar w:fldCharType="begin"/>
      </w:r>
      <w:r>
        <w:instrText xml:space="preserve"> HYPERLINK \l "_Toc256000240"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_Toc256000240 \h </w:instrText>
      </w:r>
      <w:r>
        <w:fldChar w:fldCharType="separate"/>
      </w:r>
      <w:r>
        <w:t>812</w:t>
      </w:r>
      <w:r>
        <w:fldChar w:fldCharType="end"/>
      </w:r>
      <w:r>
        <w:fldChar w:fldCharType="end"/>
      </w:r>
    </w:p>
    <w:p>
      <w:pPr>
        <w:pStyle w:val="TOC3"/>
        <w:rPr>
          <w:rFonts w:ascii="Calibri" w:hAnsi="Calibri"/>
          <w:noProof/>
          <w:sz w:val="22"/>
        </w:rPr>
      </w:pPr>
      <w:r>
        <w:fldChar w:fldCharType="begin"/>
      </w:r>
      <w:r>
        <w:instrText xml:space="preserve"> HYPERLINK \l "_Toc256000241"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812</w:t>
      </w:r>
      <w:r>
        <w:fldChar w:fldCharType="end"/>
      </w:r>
      <w:r>
        <w:fldChar w:fldCharType="end"/>
      </w:r>
    </w:p>
    <w:p>
      <w:pPr>
        <w:pStyle w:val="TOC3"/>
        <w:rPr>
          <w:rFonts w:ascii="Calibri" w:hAnsi="Calibri"/>
          <w:noProof/>
          <w:sz w:val="22"/>
        </w:rPr>
      </w:pPr>
      <w:r>
        <w:fldChar w:fldCharType="begin"/>
      </w:r>
      <w:r>
        <w:instrText xml:space="preserve"> HYPERLINK \l "_Toc256000242"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812</w:t>
      </w:r>
      <w:r>
        <w:fldChar w:fldCharType="end"/>
      </w:r>
      <w:r>
        <w:fldChar w:fldCharType="end"/>
      </w:r>
    </w:p>
    <w:p>
      <w:pPr>
        <w:pStyle w:val="TOC2"/>
        <w:rPr>
          <w:rFonts w:ascii="Calibri" w:hAnsi="Calibri"/>
          <w:noProof/>
          <w:sz w:val="22"/>
        </w:rPr>
      </w:pPr>
      <w:r>
        <w:fldChar w:fldCharType="begin"/>
      </w:r>
      <w:r>
        <w:instrText xml:space="preserve"> HYPERLINK \l "_Toc256000243"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_Toc256000243 \h </w:instrText>
      </w:r>
      <w:r>
        <w:fldChar w:fldCharType="separate"/>
      </w:r>
      <w:r>
        <w:t>813</w:t>
      </w:r>
      <w:r>
        <w:fldChar w:fldCharType="end"/>
      </w:r>
      <w:r>
        <w:fldChar w:fldCharType="end"/>
      </w:r>
    </w:p>
    <w:p>
      <w:pPr>
        <w:pStyle w:val="TOC3"/>
        <w:rPr>
          <w:rFonts w:ascii="Calibri" w:hAnsi="Calibri"/>
          <w:noProof/>
          <w:sz w:val="22"/>
        </w:rPr>
      </w:pPr>
      <w:r>
        <w:fldChar w:fldCharType="begin"/>
      </w:r>
      <w:r>
        <w:instrText xml:space="preserve"> HYPERLINK \l "_Toc256000244"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_Toc256000244 \h </w:instrText>
      </w:r>
      <w:r>
        <w:fldChar w:fldCharType="separate"/>
      </w:r>
      <w:r>
        <w:t>813</w:t>
      </w:r>
      <w:r>
        <w:fldChar w:fldCharType="end"/>
      </w:r>
      <w:r>
        <w:fldChar w:fldCharType="end"/>
      </w:r>
    </w:p>
    <w:p>
      <w:pPr>
        <w:pStyle w:val="TOC3"/>
        <w:rPr>
          <w:rFonts w:ascii="Calibri" w:hAnsi="Calibri"/>
          <w:noProof/>
          <w:sz w:val="22"/>
        </w:rPr>
      </w:pPr>
      <w:r>
        <w:fldChar w:fldCharType="begin"/>
      </w:r>
      <w:r>
        <w:instrText xml:space="preserve"> HYPERLINK \l "_Toc256000245"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_Toc256000245 \h </w:instrText>
      </w:r>
      <w:r>
        <w:fldChar w:fldCharType="separate"/>
      </w:r>
      <w:r>
        <w:t>813</w:t>
      </w:r>
      <w:r>
        <w:fldChar w:fldCharType="end"/>
      </w:r>
      <w:r>
        <w:fldChar w:fldCharType="end"/>
      </w:r>
    </w:p>
    <w:p>
      <w:pPr>
        <w:pStyle w:val="TOC2"/>
        <w:rPr>
          <w:rFonts w:ascii="Calibri" w:hAnsi="Calibri"/>
          <w:noProof/>
          <w:sz w:val="22"/>
        </w:rPr>
      </w:pPr>
      <w:r>
        <w:fldChar w:fldCharType="begin"/>
      </w:r>
      <w:r>
        <w:instrText xml:space="preserve"> HYPERLINK \l "_Toc256000246"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_Toc256000246 \h </w:instrText>
      </w:r>
      <w:r>
        <w:fldChar w:fldCharType="separate"/>
      </w:r>
      <w:r>
        <w:t>813</w:t>
      </w:r>
      <w:r>
        <w:fldChar w:fldCharType="end"/>
      </w:r>
      <w:r>
        <w:fldChar w:fldCharType="end"/>
      </w:r>
    </w:p>
    <w:p>
      <w:pPr>
        <w:pStyle w:val="TOC3"/>
        <w:rPr>
          <w:rFonts w:ascii="Calibri" w:hAnsi="Calibri"/>
          <w:noProof/>
          <w:sz w:val="22"/>
        </w:rPr>
      </w:pPr>
      <w:r>
        <w:fldChar w:fldCharType="begin"/>
      </w:r>
      <w:r>
        <w:instrText xml:space="preserve"> HYPERLINK \l "_Toc256000247"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_Toc256000247 \h </w:instrText>
      </w:r>
      <w:r>
        <w:fldChar w:fldCharType="separate"/>
      </w:r>
      <w:r>
        <w:t>813</w:t>
      </w:r>
      <w:r>
        <w:fldChar w:fldCharType="end"/>
      </w:r>
      <w:r>
        <w:fldChar w:fldCharType="end"/>
      </w:r>
    </w:p>
    <w:p>
      <w:pPr>
        <w:pStyle w:val="TOC3"/>
        <w:rPr>
          <w:rFonts w:ascii="Calibri" w:hAnsi="Calibri"/>
          <w:noProof/>
          <w:sz w:val="22"/>
        </w:rPr>
      </w:pPr>
      <w:r>
        <w:fldChar w:fldCharType="begin"/>
      </w:r>
      <w:r>
        <w:instrText xml:space="preserve"> HYPERLINK \l "_Toc256000248"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_Toc256000248 \h </w:instrText>
      </w:r>
      <w:r>
        <w:fldChar w:fldCharType="separate"/>
      </w:r>
      <w:r>
        <w:t>813</w:t>
      </w:r>
      <w:r>
        <w:fldChar w:fldCharType="end"/>
      </w:r>
      <w:r>
        <w:fldChar w:fldCharType="end"/>
      </w:r>
    </w:p>
    <w:p>
      <w:pPr>
        <w:pStyle w:val="TOC2"/>
        <w:rPr>
          <w:rFonts w:ascii="Calibri" w:hAnsi="Calibri"/>
          <w:noProof/>
          <w:sz w:val="22"/>
        </w:rPr>
      </w:pPr>
      <w:r>
        <w:fldChar w:fldCharType="begin"/>
      </w:r>
      <w:r>
        <w:instrText xml:space="preserve"> HYPERLINK \l "_Toc256000249"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_Toc256000249 \h </w:instrText>
      </w:r>
      <w:r>
        <w:fldChar w:fldCharType="separate"/>
      </w:r>
      <w:r>
        <w:t>813</w:t>
      </w:r>
      <w:r>
        <w:fldChar w:fldCharType="end"/>
      </w:r>
      <w:r>
        <w:fldChar w:fldCharType="end"/>
      </w:r>
    </w:p>
    <w:p>
      <w:pPr>
        <w:pStyle w:val="TOC1"/>
        <w:rPr>
          <w:rFonts w:ascii="Calibri" w:hAnsi="Calibri"/>
          <w:noProof/>
          <w:sz w:val="22"/>
        </w:rPr>
      </w:pPr>
      <w:r>
        <w:fldChar w:fldCharType="begin"/>
      </w:r>
      <w:r>
        <w:instrText xml:space="preserve"> HYPERLINK \l "_Toc256000250"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_Toc256000250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"_Toc256000251"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_Toc256000251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"_Toc256000252"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_Toc256000252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"_Toc256000253"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_Toc256000253 \h </w:instrText>
      </w:r>
      <w:r>
        <w:fldChar w:fldCharType="separate"/>
      </w:r>
      <w:r>
        <w:t>819</w:t>
      </w:r>
      <w:r>
        <w:fldChar w:fldCharType="end"/>
      </w:r>
      <w:r>
        <w:fldChar w:fldCharType="end"/>
      </w:r>
    </w:p>
    <w:p>
      <w:pPr>
        <w:pStyle w:val="TOC2"/>
        <w:rPr>
          <w:rFonts w:ascii="Calibri" w:hAnsi="Calibri"/>
          <w:noProof/>
          <w:sz w:val="22"/>
        </w:rPr>
      </w:pPr>
      <w:r>
        <w:fldChar w:fldCharType="begin"/>
      </w:r>
      <w:r>
        <w:instrText xml:space="preserve"> HYPERLINK \l "_Toc256000254"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_Toc256000254 \h </w:instrText>
      </w:r>
      <w:r>
        <w:fldChar w:fldCharType="separate"/>
      </w:r>
      <w:r>
        <w:t>825</w:t>
      </w:r>
      <w:r>
        <w:fldChar w:fldCharType="end"/>
      </w:r>
      <w:r>
        <w:fldChar w:fldCharType="end"/>
      </w:r>
    </w:p>
    <w:p>
      <w:pPr>
        <w:pStyle w:val="TOC1"/>
        <w:rPr>
          <w:rFonts w:ascii="Calibri" w:hAnsi="Calibri"/>
          <w:noProof/>
          <w:sz w:val="22"/>
        </w:rPr>
      </w:pPr>
      <w:r>
        <w:fldChar w:fldCharType="begin"/>
      </w:r>
      <w:r>
        <w:instrText xml:space="preserve"> HYPERLINK \l "_Toc256000255"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_Toc256000255 \h </w:instrText>
      </w:r>
      <w:r>
        <w:fldChar w:fldCharType="separate"/>
      </w:r>
      <w:r>
        <w:t>826</w:t>
      </w:r>
      <w:r>
        <w:fldChar w:fldCharType="end"/>
      </w:r>
      <w:r>
        <w:fldChar w:fldCharType="end"/>
      </w:r>
    </w:p>
    <w:p>
      <w:pPr>
        <w:pStyle w:val="TOC2"/>
        <w:rPr>
          <w:rFonts w:ascii="Calibri" w:hAnsi="Calibri"/>
          <w:noProof/>
          <w:sz w:val="22"/>
        </w:rPr>
      </w:pPr>
      <w:r>
        <w:fldChar w:fldCharType="begin"/>
      </w:r>
      <w:r>
        <w:instrText xml:space="preserve"> HYPERLINK \l "_Toc256000256"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_Toc256000256 \h </w:instrText>
      </w:r>
      <w:r>
        <w:fldChar w:fldCharType="separate"/>
      </w:r>
      <w:r>
        <w:t>826</w:t>
      </w:r>
      <w:r>
        <w:fldChar w:fldCharType="end"/>
      </w:r>
      <w:r>
        <w:fldChar w:fldCharType="end"/>
      </w:r>
    </w:p>
    <w:p>
      <w:pPr>
        <w:pStyle w:val="TOC2"/>
        <w:rPr>
          <w:rFonts w:ascii="Calibri" w:hAnsi="Calibri"/>
          <w:noProof/>
          <w:sz w:val="22"/>
        </w:rPr>
      </w:pPr>
      <w:r>
        <w:fldChar w:fldCharType="begin"/>
      </w:r>
      <w:r>
        <w:instrText xml:space="preserve"> HYPERLINK \l "_Toc256000257"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_Toc256000257 \h </w:instrText>
      </w:r>
      <w:r>
        <w:fldChar w:fldCharType="separate"/>
      </w:r>
      <w:r>
        <w:t>827</w:t>
      </w:r>
      <w:r>
        <w:fldChar w:fldCharType="end"/>
      </w:r>
      <w:r>
        <w:fldChar w:fldCharType="end"/>
      </w:r>
    </w:p>
    <w:p>
      <w:pPr>
        <w:pStyle w:val="TOC1"/>
        <w:rPr>
          <w:rFonts w:ascii="Calibri" w:hAnsi="Calibri"/>
          <w:noProof/>
          <w:sz w:val="22"/>
        </w:rPr>
      </w:pPr>
      <w:r>
        <w:fldChar w:fldCharType="begin"/>
      </w:r>
      <w:r>
        <w:instrText xml:space="preserve"> HYPERLINK \l "_Toc256000258"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_Toc256000258 \h </w:instrText>
      </w:r>
      <w:r>
        <w:fldChar w:fldCharType="separate"/>
      </w:r>
      <w:r>
        <w:t>829</w:t>
      </w:r>
      <w:r>
        <w:fldChar w:fldCharType="end"/>
      </w:r>
      <w:r>
        <w:fldChar w:fldCharType="end"/>
      </w:r>
    </w:p>
    <w:p>
      <w:pPr>
        <w:pStyle w:val="TOC2"/>
        <w:rPr>
          <w:rFonts w:ascii="Calibri" w:hAnsi="Calibri"/>
          <w:noProof/>
          <w:sz w:val="22"/>
        </w:rPr>
      </w:pPr>
      <w:r>
        <w:fldChar w:fldCharType="begin"/>
      </w:r>
      <w:r>
        <w:instrText xml:space="preserve"> HYPERLINK \l "_Toc256000259"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_Toc256000259 \h </w:instrText>
      </w:r>
      <w:r>
        <w:fldChar w:fldCharType="separate"/>
      </w:r>
      <w:r>
        <w:t>829</w:t>
      </w:r>
      <w:r>
        <w:fldChar w:fldCharType="end"/>
      </w:r>
      <w:r>
        <w:fldChar w:fldCharType="end"/>
      </w:r>
    </w:p>
    <w:p>
      <w:pPr>
        <w:pStyle w:val="TOC2"/>
        <w:rPr>
          <w:rFonts w:ascii="Calibri" w:hAnsi="Calibri"/>
          <w:noProof/>
          <w:sz w:val="22"/>
        </w:rPr>
      </w:pPr>
      <w:r>
        <w:fldChar w:fldCharType="begin"/>
      </w:r>
      <w:r>
        <w:instrText xml:space="preserve"> HYPERLINK \l "_Toc256000260"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_Toc256000260 \h </w:instrText>
      </w:r>
      <w:r>
        <w:fldChar w:fldCharType="separate"/>
      </w:r>
      <w:r>
        <w:t>831</w:t>
      </w:r>
      <w:r>
        <w:fldChar w:fldCharType="end"/>
      </w:r>
      <w:r>
        <w:fldChar w:fldCharType="end"/>
      </w:r>
    </w:p>
    <w:p>
      <w:pPr>
        <w:pStyle w:val="TOC1"/>
        <w:rPr>
          <w:rFonts w:ascii="Calibri" w:hAnsi="Calibri"/>
          <w:noProof/>
          <w:sz w:val="22"/>
        </w:rPr>
      </w:pPr>
      <w:r>
        <w:fldChar w:fldCharType="begin"/>
      </w:r>
      <w:r>
        <w:instrText xml:space="preserve"> HYPERLINK \l "_Toc256000261"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_Toc256000261 \h </w:instrText>
      </w:r>
      <w:r>
        <w:fldChar w:fldCharType="separate"/>
      </w:r>
      <w:r>
        <w:t>833</w:t>
      </w:r>
      <w:r>
        <w:fldChar w:fldCharType="end"/>
      </w:r>
      <w:r>
        <w:fldChar w:fldCharType="end"/>
      </w:r>
    </w:p>
    <w:p>
      <w:pPr>
        <w:pStyle w:val="TOC1"/>
        <w:rPr>
          <w:rFonts w:ascii="Calibri" w:hAnsi="Calibri"/>
          <w:noProof/>
          <w:sz w:val="22"/>
        </w:rPr>
      </w:pPr>
      <w:r>
        <w:fldChar w:fldCharType="begin"/>
      </w:r>
      <w:r>
        <w:instrText xml:space="preserve"> HYPERLINK \l "_Toc256000262" </w:instrText>
      </w:r>
      <w:r>
        <w:fldChar w:fldCharType="separate"/>
      </w:r>
      <w:r>
        <w:rPr>
          <w:rStyle w:val="Hyperlink"/>
        </w:rPr>
        <w:t>21.</w:t>
      </w:r>
      <w:r>
        <w:rPr>
          <w:rStyle w:val="Hyperlink"/>
        </w:rPr>
        <w:t xml:space="preserve"> </w:t>
      </w:r>
      <w:r>
        <w:rPr>
          <w:rStyle w:val="Hyperlink"/>
        </w:rPr>
        <w:t>Документи</w:t>
      </w:r>
      <w:r>
        <w:tab/>
      </w:r>
      <w:r>
        <w:fldChar w:fldCharType="begin"/>
      </w:r>
      <w:r>
        <w:instrText xml:space="preserve"> PAGEREF _Toc256000262 \h </w:instrText>
      </w:r>
      <w:r>
        <w:fldChar w:fldCharType="separate"/>
      </w:r>
      <w:r>
        <w:t>834</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д. Уведомление по член 11, буква в)</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11-03-2016</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четвъртото присъствено заседание, проведено на 11.03.2016 г., Комитетът по наблюдение на ПРСР одобри предложението на УО на ПРСР за 2-ро допълнение и изменение на Програмата за развитие на селските райони (2014-2020 г.) и упълномощи Управляващия Орган на Програмата да го изпрати официално (чрез SFC) на Европейската Комисия както следва:</w:t>
            </w:r>
          </w:p>
          <w:p>
            <w:pPr>
              <w:numPr>
                <w:ilvl w:val="0"/>
                <w:numId w:val="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за изменение на финансовите условия по под-мярка 4.1 „Инвестиции в земеделските стопанства“, както следва: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предложението на УО на ПРСР за добавяне на нова допустима дейност, респективно допустими инвестиционни разходи, свързани с напояване и отводняване в рамките на земеделските стопанства, по под-мярка 4.1. „Инвестиции в земеделски стопанства”.</w:t>
            </w:r>
          </w:p>
          <w:p>
            <w:pPr>
              <w:numPr>
                <w:ilvl w:val="0"/>
                <w:numId w:val="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на УО за изменение и допълнение на мярка 14 „Хуманно отношение към животните“</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петото присъствено заседание, проведено на 05.07. 2016 г., Комитетът по наблюдение на ПРСР одобри предложението на УО на ПРСР за допълнение към 2-ра нотификация  (2-ро допълнение и изменение на Програмата за развитие на селските райони 2014-2020 г.) и упълномощи Управляващия Орган на Програмата да го изпрати официално (чрез SFC) на Европейската Комисия както следва:</w:t>
            </w:r>
          </w:p>
          <w:p>
            <w:pPr>
              <w:numPr>
                <w:ilvl w:val="0"/>
                <w:numId w:val="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Включване на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от мярка 7 „Основни услуги и обновяване на селата в селските райони“ от ПРСР 2014 – 2020 г.</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Изменение на Мярка 14, подмярка 14.1</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във връзка с промени по мярка 14 „Хуманно отношение към животни“ , като част от второ предложение за изменение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Комитета по наблюдение на ПРСР 2014-2020 г., проведено на 11 март 2016 г. беше взето единодушно решение за изменение и допълнение на мярка 14 „Хуманно отношение към животните” с цел разширяване на обхвата на подпомагане за едри преживни животни (ЕПЖ). След проведена дискусия и в резултат на единодушното решение на Комитета, УО на ПРСР предлага извършване на следните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 В рамките на дейност „Осигуряване на свободна подова площ 10 % над минималния стандарт“ в подмярка 14.1 „Плащания за хуманно отношение към животните от сектор ЕПЖ“  се добавя възможност за кандидатстване с крави и биволици на възраст над 24 месеца.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Задължителното (базово) изискване, което се надгражда чрез предложеното допълнение в рамките на подмярката е уредено в Наредба № 44 от 20 април 2006 г. за ветеринарномедицинските изисквания към животновъдните обекти на Министерство на земеделието и храните. Начинът по който се надграждат минималните изисквания по отношение на осигуряването на свободна подова площ чрез предложеното допълнение са посочени в приложение.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Осигуряването на съответсвие с горепосочените условия за отглеждане на животните чрез мярка 14 „Хуманно отношение към животните“ е мотивирано от броя на животновъдните обекти, регистрирани по реда на чл. 137 от Закона ветеринарномедицинските дейности (ЗВД), т.е. животновъдни стопанства, които са постигнали минималните изисквания за хуманно отношение към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Българска агенция по безопастност на храните (БАБХ) към месец май 2016 г. броят на животновъдните обекти в които се отглеждат ЕПЖ на възраст над 24 месеца е общо 3252 бр. с общо 206 800 бр. едри преживни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част от съответните стопанства са надградили минималните стандарти за отглеждане на животните, осигурявайки по-благоприятни условия в съотвествие с целите на мярка 14 „Хуманно отношение към животните“. Друга част от стопаните съзнават преимуществата от предприемане на съответните действия но са изправени пред финансови проблеми предвид ситуацията в сектор „Мляко“ през последните години и особено в рамките на последната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Мотиви за подпомагане на осигуряване на свободна подова площ не по-малко от 10 % над минималния стандарт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Преимуществата от предприемане на съответните действия за осигуряване на свободна подова площ не по-малко от 10 % над задължителния стандарт за крави и биволици на възраст над 24 месеца се изразява в следното:</w:t>
            </w:r>
          </w:p>
          <w:p>
            <w:pPr>
              <w:numPr>
                <w:ilvl w:val="0"/>
                <w:numId w:val="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голяма площ/пространство за едно животно;</w:t>
            </w:r>
          </w:p>
          <w:p>
            <w:pPr>
              <w:numPr>
                <w:ilvl w:val="0"/>
                <w:numId w:val="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голяма двигателна активност;</w:t>
            </w:r>
          </w:p>
          <w:p>
            <w:pPr>
              <w:numPr>
                <w:ilvl w:val="0"/>
                <w:numId w:val="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здравословното състояние и благополучие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Допълнително извършени разходи и пропуснати проходи: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Компенсаторното плащане, изчислено за крави и биволици над 24 месечна възраст е калкулирано въз основа на пропуснатите ползи и респективно приходи от намалението на на броя на животните и оттам за необходимата компенсация върху останалите животни. Изчисленията са правени на база единица животно от млечно направление при крави, като изчислените пропуснати приходи включват нереализирани приходи от мляко. Извършена е корекция със спестените разходи за единица животно, включващи разходите по изхранването и медицинското обслужване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Подробна информация е предоставена в приложение в раздел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Преимуществата от предприемане на съответните действия за осигуряване на свободна подова площ не по-малко от 10 % над задължителния стандарт за крави и биволици на възраст над 24 месеца се изразява в следното:</w:t>
            </w:r>
          </w:p>
          <w:p>
            <w:pPr>
              <w:numPr>
                <w:ilvl w:val="0"/>
                <w:numId w:val="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голяма площ/пространство за едно животно;</w:t>
            </w:r>
          </w:p>
          <w:p>
            <w:pPr>
              <w:numPr>
                <w:ilvl w:val="0"/>
                <w:numId w:val="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голяма двигателна активност;</w:t>
            </w:r>
          </w:p>
          <w:p>
            <w:pPr>
              <w:numPr>
                <w:ilvl w:val="0"/>
                <w:numId w:val="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здравословното състояние и благополучие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arial" w:eastAsia="arial" w:hAnsi="arial" w:cs="arial"/>
                <w:color w:val="222222"/>
                <w:sz w:val="18"/>
                <w:szCs w:val="18"/>
              </w:rPr>
              <w:t>Промяна на показателите не се очаква, поради запазване на разполагаемият бюджет.</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синхрно със Споразумението за партньорство.</w:t>
            </w:r>
          </w:p>
          <w:p>
            <w:pPr>
              <w:pStyle w:val="BodyText"/>
              <w:jc w:val="both"/>
              <w:rPr>
                <w:b w:val="0"/>
              </w:rPr>
            </w:pPr>
          </w:p>
        </w:tc>
      </w:tr>
    </w:tbl>
    <w:p>
      <w:pPr>
        <w:pStyle w:val="Heading4"/>
        <w:jc w:val="left"/>
        <w:rPr>
          <w:b w:val="0"/>
        </w:rPr>
      </w:pPr>
      <w:r>
        <w:rPr>
          <w:b w:val="0"/>
        </w:rPr>
        <w:t>Изменение на Мярка 19, подмярка 19.2</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Информация във връзка с изменение на </w:t>
            </w:r>
            <w:r>
              <w:rPr>
                <w:rStyle w:val="DefaultParagraphFont"/>
                <w:rFonts w:ascii="Times New Roman" w:eastAsia="Times New Roman" w:hAnsi="Times New Roman" w:cs="Times New Roman"/>
                <w:b/>
                <w:bCs/>
                <w:szCs w:val="24"/>
              </w:rPr>
              <w:t>мярка 19 „Водено от общностите местно развитие”(ВОМР)</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ПРСР 20</w:t>
            </w:r>
            <w:r>
              <w:rPr>
                <w:rStyle w:val="DefaultParagraphFont"/>
                <w:rFonts w:ascii="Times New Roman" w:eastAsia="Times New Roman" w:hAnsi="Times New Roman" w:cs="Times New Roman"/>
                <w:b/>
                <w:bCs/>
                <w:szCs w:val="24"/>
              </w:rPr>
              <w:t xml:space="preserve">14 </w:t>
            </w:r>
            <w:r>
              <w:rPr>
                <w:rStyle w:val="DefaultParagraphFont"/>
                <w:rFonts w:ascii="Times New Roman" w:eastAsia="Times New Roman" w:hAnsi="Times New Roman" w:cs="Times New Roman"/>
                <w:b/>
                <w:bCs/>
                <w:szCs w:val="24"/>
              </w:rPr>
              <w:t>– 20</w:t>
            </w:r>
            <w:r>
              <w:rPr>
                <w:rStyle w:val="DefaultParagraphFont"/>
                <w:rFonts w:ascii="Times New Roman" w:eastAsia="Times New Roman" w:hAnsi="Times New Roman" w:cs="Times New Roman"/>
                <w:b/>
                <w:bCs/>
                <w:szCs w:val="24"/>
              </w:rPr>
              <w:t>20</w:t>
            </w:r>
            <w:r>
              <w:rPr>
                <w:rStyle w:val="DefaultParagraphFont"/>
                <w:rFonts w:ascii="Times New Roman" w:eastAsia="Times New Roman" w:hAnsi="Times New Roman" w:cs="Times New Roman"/>
                <w:b/>
                <w:bCs/>
                <w:szCs w:val="24"/>
              </w:rPr>
              <w:t xml:space="preserve">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Комитета по наблюдение на ПРСР 2014-2020 г., проведено на 25 септември 2015 г. беше взето решение за изменение и допълнение на мярка 19 „Водено от общностите местно развитие” с цел разширяване на обхвата на прилагане на подмерки 19.1, 19.3 и 19.4.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Причини, които налагат промяната: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19 „Водено от общностите местно развитие”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споразумението за партньорство и в ПРСР е записано, че 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Същевременно в ПРСР, в текста на точка Общо описание на мярка 19 е записано, че подкрепата по Европейския земеделски фонд за развитие на селските райони (ЕЗФРСР) се прилага само на територията на селски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Този текст стеснява обхвата , заложен в одобреното Споразумение за партньорство, в което е записано че подмерките 19.1 „Помощ за подготвителни дейности“, 19.3 „Подготовка и изпълнение на дейностите за сътрудничество на местни инициативни групи“ (МИГ) и 19.4 „Текущите разходи и популяризиране на стратегията за ВОМР“ (когато УО на ПРСР е водещ фонд), независимо от териториалния обхват на МИГ ще бъдат финансирани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Местна инициативна група, която включва и територия извън селски район в обхвата на подхода, няма да може да прилага своята стратегия за местно развитие пълноценно, тъй като няма да може да финансира  дейности по цитираните подмерки на територията си извън селския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тази връзка се предлага промяна в текста на точка „Общо описание на мярката“ от мярка 19 ВОМР на ПРСР 2014 – 2020 г., така, че да става ясно, че подмерки 19.1 „Помощ за подготвителни дейности”, 19.3 „Подготовка и изпълнение на дейности за сътрудничество на местни инициативни групи” и 19.4 „Текущите разходи и популяризиране на стратегията за ВОМР” ще могат да се изпълняват  на цялата територия на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е необходимо да бъде допълнен текста на точка Условия за допустимост на подмярка 19.2 „Прилагане на операции в рамките на стратегии за водено от общностите местно развитие”. От него трябва да става ясно, че подкрепата по тази подмярка със средства по ЕЗФРСР ще се предоставя само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проведена дискусия и в резултат на решението на Комитета, УО на ПРСР предлага извършване на следните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В т. „Общо описание на мярката, включително нейната интервенционна логика и нейният принос за областите с поставен акцент и междусекторните цели“: 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само на територията на селските райони, а по останалите подмерки – на цялата територия на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В т. „Условия за допустимост“ на подмярка 19.2 се правят следните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Добавя се уточняващ текст (подчертан):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Бенефициентите по подмярката са с постоянен адрес или седалище на територията на МИГ, </w:t>
            </w:r>
            <w:r>
              <w:rPr>
                <w:rStyle w:val="DefaultParagraphFont"/>
                <w:rFonts w:ascii="Times New Roman" w:eastAsia="Times New Roman" w:hAnsi="Times New Roman" w:cs="Times New Roman"/>
                <w:szCs w:val="24"/>
                <w:u w:val="single"/>
              </w:rPr>
              <w:t>с изключение на бенефициентите общини от селските райони със седалище в областен град.</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Постигане на по-голям териториален обхват по подхода ВОМР</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arial" w:eastAsia="arial" w:hAnsi="arial" w:cs="arial"/>
                <w:color w:val="222222"/>
                <w:sz w:val="18"/>
                <w:szCs w:val="18"/>
              </w:rPr>
              <w:t>Промяна на показателите не се очаква, поради запазване на разполагаемият бюджет.</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синхрно със Споразумението за партньорство.</w:t>
            </w:r>
          </w:p>
          <w:p>
            <w:pPr>
              <w:pStyle w:val="BodyText"/>
              <w:jc w:val="both"/>
              <w:rPr>
                <w:b w:val="0"/>
              </w:rPr>
            </w:pPr>
          </w:p>
        </w:tc>
      </w:tr>
    </w:tbl>
    <w:p>
      <w:pPr>
        <w:pStyle w:val="Heading4"/>
        <w:jc w:val="left"/>
        <w:rPr>
          <w:b w:val="0"/>
        </w:rPr>
      </w:pPr>
      <w:r>
        <w:rPr>
          <w:b w:val="0"/>
        </w:rPr>
        <w:t>Изменение на Мярка 4, подмерки 4.1 и 4.1.2</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във връзка с промени в подмярка 4.1 „Инвестиции в земеделските стопанства“ като част от предложение за 2-ро изменение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1.Промяна във финансовите условия – </w:t>
            </w:r>
            <w:r>
              <w:rPr>
                <w:rStyle w:val="DefaultParagraphFont"/>
                <w:rFonts w:ascii="Times New Roman" w:eastAsia="Times New Roman" w:hAnsi="Times New Roman" w:cs="Times New Roman"/>
                <w:b/>
                <w:bCs/>
                <w:szCs w:val="24"/>
                <w:u w:val="single"/>
              </w:rPr>
              <w:t>Таблица 1</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проведено на 11.03.2016 г. на Комитета по наблюдение на ПРСР 2014-2020 беше взето единодушно решение за ревизиране на финансовите условия по подмярка 4.1. Решенията бяха взети след обсъждане от страна на участниците в комитета на предложените промени от страна на Управляващия орган на Програмата. Във връзка с взетите решения българските власти представят промените отразени в текста на подмярката, както скледва: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Промени в максималния размер на допустимите разходи за един проект и един кандидат:</w:t>
            </w:r>
          </w:p>
          <w:p>
            <w:pPr>
              <w:numPr>
                <w:ilvl w:val="0"/>
                <w:numId w:val="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максималния размер на допустимите разходи за един проект и за един кандидат за периода на прилагане на Програмата от 1 500 000 евро на 1 000 000 евро;</w:t>
            </w:r>
          </w:p>
          <w:p>
            <w:pPr>
              <w:numPr>
                <w:ilvl w:val="0"/>
                <w:numId w:val="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максималния размер на допустимите разходи за проекти, представляващи колективни инвестиции за периода на прилагане на Програмата от 4 000 000 евро и съответно от 5 000 000 евро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Промени в максималния интензитет на финансовата помощ за един проект и един кандидат:</w:t>
            </w:r>
          </w:p>
          <w:p>
            <w:pPr>
              <w:numPr>
                <w:ilvl w:val="0"/>
                <w:numId w:val="2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максималното комбинирано подпомагане за един проект на индивидуален бенефициент от 70 % на 60 % от общия размер на допустимите за финансово подпомагане разходи;</w:t>
            </w:r>
          </w:p>
          <w:p>
            <w:pPr>
              <w:numPr>
                <w:ilvl w:val="0"/>
                <w:numId w:val="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максималното комбинирано подпомагане за един проект за колективни инвестиции от 90 % на 70 % от общия размер на допустимите за финансово подпомагане разходи;</w:t>
            </w:r>
          </w:p>
          <w:p>
            <w:pPr>
              <w:numPr>
                <w:ilvl w:val="0"/>
                <w:numId w:val="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допълнителния процент финансова помощ от 20% на 10% за проекти представени от групи/организации на производители и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Предложените и приети промени са базирани на резултатите от проведения първи прием по подмярката през 2015 г., в който бяха подадени 3 362 проектни предложения с размер на заявените разходи 1,1 млрд. евро и заявена финансова помощ 630 млн. евро, при средна стойност на  заявените разходи за едно проектно предложение в размер на 327 хил. евро и среден размер на заявената финансова помощ около 58%. Определения бюджет за приема от страна на Управляващия орган е в размер на 150 млн. евро, което е четири пъти по - малко от заявения от земеделските стопани интерес.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приоритети заложени в подмярката в рамките на разполагаемия бюджет за приема попадат предимно проекти от приоритетните сектори за подпомагане. Одобрени заявления за подпомагане от сектор „плодове и зеленчуци“ са 367 проекта, с общ размер на разходите  100 млн. евро и среден интензитет интензитет на финансовата помощ 6%. От сектор „животновъдство“ са одобрени 319 проекта, с общ размер на разходите  118 млн. евро и среден интензитет на финансовата помощ 61%. От сектор „етерично – маслени култури“ 70 проекта, с общ размер на разходите  16 млн. евро и интензитет на финансовата помощ 61%.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одобрените заявления за подпомагане към момента е налице среден размер на финансовата помощ за едно проектно предложение в размер на 190 хил. евро и среден размер на финансовата помощ 61%.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друга страна проектните предложения, които попадат извън обхвата на разполагаемия бюджет са около 74% с общ размер на разходите  761 млн. евро и среден интензитет на финансовата помощ 54%.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представените реални данни за изключително високия интерес и инвестиционна активност на земеделските стопани и на база обработени към момента заявления за подпомагане чрез промените във финансовите условия по подмярката ще се предостави възможност за подкрепа на по – голям брой земеделски стопанства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Наличието на подобна висока активност от страна на кандидатите спрямо разполагаемия ресурс за подобен тип подкрепа до момента не е била налице в рамките на целия програмния период 2007-2013, което е още една предпоставка за търсене на алтернативи за по – балансирано разпределение на така или иначе ограничения финансов ресурс в рамките на Втори стълб за периода 2014-2020. Прави впечатление изключително високата активност на земеделски стопани от чувствителните сектори, които са определени за стратегически за подпомагане в рамките на програмния период 2014-2020, включително в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Актуализирането на финансовите условия базирано на реални данни от първия проведен прием по мярката ще позволи в по – висока степен да се постигнат приоритетите и индикаторите залегнали в подмярката от една страна и от друга ще отговорят на проектната готовност и нуждите на земеделските стопани от инвестиционна подкрепа. Запазването на по – висок интензитет на финансовата помощ за колективни инвестиции представени от групи/организации на производители е свързан с насърчаване на кооперирането в страната, като тенденциите в последните месеци показват засилен интерес от страна на земеделските стопани за създаване на групи и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 Добавяне на дейности и инвестиции за напояване като допустими за подпомагане по подмярка 4.1</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Решението за включване на дейности и инвестиции за напояване, като допустими за подпомагане по подмярка 4.1 в рамките на земеделските стопанства е взето с единодушно решение от страна на членовете на Комитета по наблюдение на проведеното заседание на 11.03.2016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заседанието на Комитета беше представена и разработената от екип на Световна банка Обща стратегия за управление и развитие на хидромелиоративния сектор и защита от вредното въздействие на водите в страната. Разработената стратегия подлага на анализ хидромелиоративната инфраструктура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Световна банка към момента повече от 96% от българските производители на селскостопански култури използват естествените валежи като основен източник на вода. При по-голяма част от земеделските стопанства, особено средните и едрите, напояването е в допълнение на естествения приход на вода. С подобряване на управлението на водите в земеделските стопанства разликата в добивите от поливното и неполивното земеделие би била значителна. В страната се наблюдават съществени разлики в добивите между сухи и влажни години, което е показателно за необходимостта от поливно земеделие. С оглед подобряване производителността на водата, а по този начин и земеделската конкурентоспособност, напояването предоставя значителни възможности. Също така помага за смекчаване на растящите предизвикателства в резултат на климатичните промени. Въпреки значителен селскостопански потенциал, средните добиви в България са на по - ниски нива в сравнение със съседните страни, което свидетелства за не оптималното ползване на производителни елементи и по-специално вода.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Очакваните добиви в страната от поливни култури надхвърлят добивите от неполивни култури с от 80 до 400% в зависимост от селскостопанската културата. По данни на Селскостопанска академия, се наблюдават големи разлика между добива от поливни и неполивни култури, като в таблицата са посочени примери за среден добив от хектар при неполивно и поливно отглеждане.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Също така показателно, е че например добивите на домати, чушки, ябълки и картофи в южния централен регион на страната са с 10-18% по-високи в сравнение със средните за България. Този регион се характеризира с множество долини и равнини и типичните планини и е сравнително облагодетелстван от към водни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Брутните печалби на стопанства с по-разпространено напояване сочат съществено по-високи резултати. Макар всички стопанства с поливни системи да демонстрират, че напояването води до по-високи брутни печални, най-съществена разлика е видна при стопанствата с трайни насаждения (напр. лозя и др.) и при градинарството.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контекста на възможностите за инвестиционна подкрепа в рамките на земеделските стопанства по подмярка 4.1 в Стратегията е посочено, че земеделските стопани в България, които попадат в обхвата на системите, обслужвани от НС ЕАД, така и извън тях инвестират в нови технологии за напояване в своите стопанства, без да имат ясно разбиране за възможните алтернативи, разходите и изискванията за експлоатация и поддръжка на съоръженията. Също така в Стратегията е посочено, че все по-силно се оценява потенциалът, свързан с възстановяването и модернизирането на съществуващата хидромелиоративна инфраструктура, както и фактът, че това е залог за намаляване на рисковете, свързани с климатичните промени и измененията в производителността и устойчивостта на селското стопанство и управлението на земята. Продължителните периоди на суша в бъдеще, съчетани с по-чести и тежки наводнения, превръщат земеделието в страната в един стопански сектор с растяща нестабилност. Напоителната инфраструктура ще се ползва за допълващо или цялостно задоволяване на повишените нужди от вода на културите. Във връзка с тези фактори хидромелиоративният сектор генерира значителни ползи не само за земеделските стопани, но и за много по-широк кръг.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Както е посочено и в Стратегията съществуващите в страната земеделски стопанства се основават предимно на производството на зърнено-житни култури и слънчоглед, които или завършват вегетацията си рано, преди началото на горещото и сухо лято, или са издръжливи на продължителна суша и недостиг на вода. Докато някои овощни насаждения са умерено издръжливи на воден дефицит, то зеленчукопроизводството в България изцяло зависи от напояването, за да бъде конкурентноспособно. При вземането на решение дали да се възползват от напояване земеделските стопани прилагат подхода „да изчакаме и да видим“. Когато валежите са достатъчни те предпочитат да не напояват, в резултат на което могат да понесат намаляване на добивите, но в същото време спестяват допълнителни разходи за напояване. При продължително засушаване, когато наличната в почвата влага намалява, земеделските стопани напояват, ако имат налична поливна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средносрочен и дългосрочен план се очаква климатичните промени все повече да влияят върху българското селско стопанство. Подобно на прогнозите за Европа и в зависимост от глобалния сценарий, в България може да се очаква повишаване на средните годишни температури, което би могло да варира между 0,5°C и 1,5°C до 2029 и между 2,0°C и 5,0°C до края на века. Предвид очакваните промени в моделите на валежите, това също ще доведе до диференцирани въздействия върху регионалните добиви на българското земеделско производство според съответните култури. Като се има предвид, че земеделието има по-голяма тежест в българското селско стопанство, изменението на климата би могло да има по-силно въздействие именно върху този сегмент. Разработването на дългосрочна визия за поливното земеделие отдавна е осъзнато като необходимост. Ето защо в своята Програма за стабилно развитие на Република България за периода 2014-2018 г. Правителството залага и приоритети, свързани с развитието на сектора на поливното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маркира пътя към Европейския модел на земеделие, приет още през 1997 г., когато Съветът на министрите на земеделието определя няколко общи основни принципа: конкурентоспособност, устойчивост, мултифункционалност и приложимост във всички региони на Европейския съюз. Освен това, моделът поставя поливното земеделие в контекста на адаптирането към климатичните изменения.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SWOT анализа на на хидромелиоративния сектор в България към Стратегията изготвена от Световна банка са посочени някои ключови моменти, като силни страни и възможности  по отношение на необходимостта от инвестиции в напояване в рамките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силни страни свързани с конкурентоспособността на селскостопанския сектор са посочени: плодородни почви и относително дълъг вегетационен период с потенциал и добри възвръщаемости от напояване; политическа воля за възстановяване на поливното и интензивно земеделие и дългогодишен успешен исторически опит в производството на култури и в поливното земеделие. Очертаните възможности в посока конкурентоспособност са засилване на високостойностното земеделие увеличава нивото на заетост, подобряване на сътрудничеството между земеделските производители, с оглед повишаване на конкурентоспособността на селскостопанските продукти и преработката на храни и възстановяване на устойчиво поливно земеделие, което се цени на пазара и щади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Силните страни посочени в Стратегията по отношение на хидромелиоративна инфраструктура са достатъчни водни ресурси, за осигуряване на необходимите обеми вода за сега отглежданите култури, капацитет за мобилизиране на средства от ЕС за възстановяване и модернизация и значителни годни поливни площи в страната. По отношение на възможностите е отбелязано земеделски производители, заинтересовани от модерни техники за напояване в земеделските стопанства, подобрена ефективност на европейско финансиране за инвестиции в хидромелиоративната инфраструктура и възможности за разнообразяване на производството, с оглед включване на високостойностни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Посочените силни страни и възможности са в подкрепа на намерението на българските власти за предоставяне на възможност на земеделските стопани за подкрепа на инвестиции в напояване. Описаните възможности са в подкрепа и на очакванията и нуждите на земеделските стопани от подобен тип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Не на последно място е и определяне на приоритети при подпомагане на инвестиции свързани с напояване чрез критерии за оценка, които да са приложими към подобен тип инвестиции, допълвайки до момента съществуващите критерии за оценка. В контекста на разработената обща стратегия за сектора от Световна банка, българските власти считат, че инвестициите в рамките на подмярка 4.1 следва да бъдат насочени приоритетна към земеделски стопани, които са членове на сдружения за напояване, както и за инвестиции, които стимулират или позволяват по ефективното и ефикасно използване на водните ресурси в страната. Този подход е отразен в частта </w:t>
            </w:r>
            <w:r>
              <w:rPr>
                <w:rStyle w:val="DefaultParagraphFont"/>
                <w:rFonts w:ascii="Times New Roman" w:eastAsia="Times New Roman" w:hAnsi="Times New Roman" w:cs="Times New Roman"/>
                <w:i/>
                <w:iCs/>
                <w:szCs w:val="24"/>
              </w:rPr>
              <w:t>„1.1.1.3.1.7. Принципи при определяне на критериите за подбор“</w:t>
            </w:r>
            <w:r>
              <w:rPr>
                <w:rStyle w:val="DefaultParagraphFont"/>
                <w:rFonts w:ascii="Times New Roman" w:eastAsia="Times New Roman" w:hAnsi="Times New Roman" w:cs="Times New Roman"/>
                <w:szCs w:val="24"/>
              </w:rPr>
              <w:t xml:space="preserve"> от подмярка 4.1. По този начин ще се гарантира целевото насочване на помощта съобразено със Стратегията на Световна банка.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 орган на Програмата счита, че чрез механизма на критериите за оценка, като неизменна част от прилагане на подмярка 4.1 в частта инвестиции за напояване ще се постигне и насочване на земеделските стопани към използване на публична инфраструктура за задоволяване на нуждите от напояване в рамките на земеделските им стопанства. Чрез предложените за допълнителни критерии за оценка приоритет ще бъде предоставен на онези земеделски стопани които са част от Сдружения за напояване и/или използват по ефективни системи. По този начин помощта ще бъде насочена към земеделски стопани, които водоползват от главна инфраструктура, при която загубите на вода са минимизирани, а ефективността на водопреноснатата инфраструктура е висока.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целево насочване на финансирането ще позволи земеделските стопани да оптимизират своите разходи за напояване на единица площ, което от своя страна ще се отрази благоприятно на цената на произвежданата продукция. В този контекст този тип приоритетно подпомагане е в унисон и с основните принципи на разработваната методика за определяне на цената на водата, а именно принципите на предвидимост, финансова достъпност, устойчивост и прозрачност. Наличието на подобен подход ще осигури допълнителни стимули, които ще спомогнат за ефективното развитие на сектор напояване в страната в условията на предвидими дългосрочни очаквания и тенденции. Насърчаването на земеделските стопани към подобен тип инвестиции в напояване ще благоприятства и за защита компонентите на околната среда, включително въздействието върху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Очакваните резултати с включването на инвестициите за напояване със значително подобряване на възможностите за насърчаване на конкурентоспособността на селското стопанство, тъй като чрез тези инвестиции се подобрява производителността и същевременно се постига намаляване на загубите на доход за фермерите в години с по-неблагоприятни климатични условия. От друга страна за земеделските стопани напояването е важно за справяне с нестабилността на цените, тъй като до голяма степен ги защитава земеделските стопани от значителен спад в производството и осигурява сравнително стабилни добиви в периоди на лоши метеорологични условия и променливи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показателен и ефекта на допълняемост, които ще се постигне с осигуряването на подкрепа за инвестиции за напояване особено за сектор „плодове и зеленчуци“, които заема 44% от всички одобрени заявления за подпомагане от първия проведен прием по подмярката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изложеното по – горе Българските власти считат, че чрез прилагането на критерии за оценка и допустимост в съответствие с чл. 46 от Регламент 1305/2013 ще се постигне и гарантира устойчивост на проекти с включени инвестиции за напояване в рамките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промени в текстовете на ПРСР 2014-2020 по отношение на интервенциите в напояване в рамките на земеделските стопанства са изцяло съобразени с разработената Стратегия за хидромелиоративния сектор в страната, като за нуждите на подмярка 4.1 е използван подхода за подкрепа на инвестиции в земеделските стопанства предложен от Световна банка под формата на предложение за рамка и програмиране. По отношение на изискванията на чл. 46 от Регламент 1305/2013, българските власти са включили в текста на подмярка 4.1 съответните текстове съобразени с препоръките на Световна банка на база изготвената от тях стратегия и рамка за програмиране.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3. Добавяне на дейности и инвестиции за напояване като допустими за подпомагане по подмярка 4.1 като част от Тематичната подпрограма за малките стопанства – </w:t>
            </w:r>
            <w:r>
              <w:rPr>
                <w:rStyle w:val="DefaultParagraphFont"/>
                <w:rFonts w:ascii="Times New Roman" w:eastAsia="Times New Roman" w:hAnsi="Times New Roman" w:cs="Times New Roman"/>
                <w:b/>
                <w:bCs/>
                <w:szCs w:val="24"/>
                <w:u w:val="single"/>
              </w:rPr>
              <w:t>Таблица 2</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аналогия и като се има предвид изложеното по – горе е включването като допустими за подпомагане инвестициите за напояване в рамките на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Важен фактор за конкурентоспособността е структурата на селското стопанство. Българското земеделие се отличава с дуалистична структура, включваща голям брой малки стопанства, които управляват площи под 2 хектара и ограничен брой големи ферми с над 100 ха земя. Полупазарните стопанства съставляват 94% от всички ферми и обработват 15% от използваната земеделска площ. Голям процент от малките стопанства териториално попадат в обхвата на планинските и/или необлагодетелстваните райони. Така те остават извън обхвата на съществуващите мрежи. За тях няма алтернатива в напояването и повишаване на добивите освен, чрез изграждането на собствена напоителна система.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трансформация на земеделските структури, които напредва по-бързо в България в сравнение с другите нови държави-членки, показва, че най-високата концентрация на поливни площи остава в ръцете на малките земеделски стопанства (по-малки от два хектара). Тези малки стопанства се характеризират с разнообразие на произвежданата селскостопанска продукция, главно производство на поливни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Независимо от структурата на земеделските стопанства, международните сравнителни анализи показват, че добивите могат да се удвоят чрез напояване и по този начин да допринесат за увеличаване на доходите на земеделските стопанства в сравнение с практикуващите неполивно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Подробна информация е предоставена в приложение в раздел "Документи".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Очакваните резултати с включването на инвестициите за напояване със значително подобряване на възможностите за насърчаване на конкурентоспособността на селското стопанство, тъй като чрез тези инвестиции се подобрява производителността и същевременно се постига намаляване на загубите на доход за фермерите в години с по-неблагоприятни климатични условия. От друга страна за земеделските стопани напояването е важно за справяне с нестабилността на цените, тъй като до голяма степен ги защитава земеделските стопани от значителен спад в производството и осигурява сравнително стабилни добиви в периоди на лоши метеорологични условия и променливи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показателен и ефекта на допълняемост, които ще се постигне с осигуряването на подкрепа за инвестиции за напояване особено за сектор „плодове и зеленчуци“, които заема 44% от всички одобрени заявления за подпомагане от първия проведен прием по подмярката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изложеното по – горе Българските власти считат, че чрез прилагането на критерии за оценка и допустимост в съответствие с чл. 46 от Регламент 1305/2013 ще се постигне и гарантира устойчивост на проекти с включени инвестиции за напояване в рамките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промени в текстовете на ПРСР 2014-2020 по отношение на интервенциите в напояване в рамките на земеделските стопанства са изцяло съобразени с разработената Стратегия за хидромелиоративния сектор в страната, като за нуждите на подмярка 4.1 е използван подхода за подкрепа на инвестиции в земеделските стопанства предложен от Световна банка под формата на предложение за рамка и програмиране. По отношение на изискванията на чл. 46 от Регламент 1305/2013, българските власти са включили в текста на подмярка 4.1 съответните текстове съобразени с препоръките на Световна банка на база изготвената от тях стратегия и рамка за програмиране.</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показателите не се очаква, поради запазване на разполагаемият бюджет.</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синхрно със Споразумението за партньорство.</w:t>
            </w:r>
          </w:p>
          <w:p>
            <w:pPr>
              <w:pStyle w:val="BodyText"/>
              <w:jc w:val="both"/>
              <w:rPr>
                <w:b w:val="0"/>
              </w:rPr>
            </w:pPr>
          </w:p>
        </w:tc>
      </w:tr>
    </w:tbl>
    <w:p>
      <w:pPr>
        <w:pStyle w:val="Heading4"/>
        <w:jc w:val="left"/>
        <w:rPr>
          <w:b w:val="0"/>
        </w:rPr>
      </w:pPr>
      <w:r>
        <w:rPr>
          <w:b w:val="0"/>
        </w:rPr>
        <w:t>Изменение на Мярка 7, подмярка 7.2, добавена подмярка 7.3</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Мотиви за предложената промяна:</w:t>
            </w:r>
          </w:p>
          <w:p>
            <w:pPr>
              <w:numPr>
                <w:ilvl w:val="0"/>
                <w:numId w:val="28"/>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Допусната техническа грешка. В програмен период 2007-2013 г. Оперативна програма „Регионално развитие“ финансираше изграждане или реконструкция на пътища втори и трети клас. С цел допълняемост ПРСР 2007-2013 г. даваше приоритет на свързаност на общински пътища до втори и трети клас републиканска пътна мрежа. В настоящия програмен период Оперативна програма „Региони в растеж“ финансира свързаност на цялата републиканска пътна мрежа (пътища първи, втори и трети клас) до TEN-T мрежата. С цел допълняемост ПРСР следва да финансира, в случая да дава приоритет на свързаността на общинските пътища до цялата републиканска пътна мрежа (пътища първи, втори и трети клас). При описанието на пътищата от Републиканската пътна мрежа е пропуснат „първи“ клас път, което прави описанието на критерия непълно и несинхронизирано с обосновката и целите на подмярката.</w:t>
            </w:r>
          </w:p>
          <w:p>
            <w:pPr>
              <w:numPr>
                <w:ilvl w:val="0"/>
                <w:numId w:val="2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обосновката на подмярка 7.2 е посочено, че „</w:t>
            </w:r>
            <w:r>
              <w:rPr>
                <w:rStyle w:val="DefaultParagraphFont"/>
                <w:rFonts w:ascii="Times New Roman" w:eastAsia="Times New Roman" w:hAnsi="Times New Roman" w:cs="Times New Roman"/>
                <w:i/>
                <w:iCs/>
                <w:szCs w:val="24"/>
              </w:rPr>
              <w:t>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r>
              <w:rPr>
                <w:rStyle w:val="DefaultParagraphFont"/>
                <w:rFonts w:ascii="Times New Roman" w:eastAsia="Times New Roman" w:hAnsi="Times New Roman" w:cs="Times New Roman"/>
                <w:szCs w:val="24"/>
              </w:rPr>
              <w:t>“. Текстовете в двете части на подмярката следва да бъдат синхронизирани.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По-голям брой население в селските райони, което ще се възползва от подобрените услуги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arial" w:eastAsia="arial" w:hAnsi="arial" w:cs="arial"/>
                <w:color w:val="222222"/>
                <w:sz w:val="18"/>
                <w:szCs w:val="18"/>
              </w:rPr>
              <w:t>Промяна на показателите не се очаква, поради запазване на разполагаемият бюджет.</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синхрно със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 са следните дейности по предварителната оценка:</w:t>
            </w:r>
          </w:p>
          <w:p>
            <w:pPr>
              <w:numPr>
                <w:ilvl w:val="0"/>
                <w:numId w:val="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в тематичната работна група (ТРГ) по ПРСР, 10.02.2014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Официално подаване на завършения Доклад за предварителна оценка, </w:t>
            </w:r>
            <w:r>
              <w:rPr>
                <w:rStyle w:val="DefaultParagraphFont"/>
                <w:rFonts w:ascii="Times New Roman" w:eastAsia="Times New Roman" w:hAnsi="Times New Roman" w:cs="Times New Roman"/>
                <w:szCs w:val="24"/>
              </w:rPr>
              <w:t>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Style w:val="DefaultParagraphFont"/>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Style w:val="DefaultParagraphFont"/>
                <w:rFonts w:ascii="Times New Roman" w:eastAsia="Times New Roman" w:hAnsi="Times New Roman" w:cs="Times New Roman"/>
                <w:szCs w:val="24"/>
              </w:rPr>
              <w:t xml:space="preserve">Разработени бяха: </w:t>
            </w:r>
            <w:r>
              <w:rPr>
                <w:rStyle w:val="DefaultParagraphFont"/>
                <w:rFonts w:ascii="Times New Roman" w:eastAsia="Times New Roman" w:hAnsi="Times New Roman" w:cs="Times New Roman"/>
                <w:i/>
                <w:iCs/>
                <w:szCs w:val="24"/>
              </w:rPr>
              <w:t xml:space="preserve">Искане </w:t>
            </w:r>
            <w:r>
              <w:rPr>
                <w:rStyle w:val="DefaultParagraphFont"/>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Style w:val="DefaultParagraphFont"/>
                <w:rFonts w:ascii="Times New Roman" w:eastAsia="Times New Roman" w:hAnsi="Times New Roman" w:cs="Times New Roman"/>
                <w:i/>
                <w:iCs/>
                <w:szCs w:val="24"/>
              </w:rPr>
              <w:t>Задание</w:t>
            </w:r>
            <w:r>
              <w:rPr>
                <w:rStyle w:val="DefaultParagraphFont"/>
                <w:rFonts w:ascii="Times New Roman" w:eastAsia="Times New Roman" w:hAnsi="Times New Roman" w:cs="Times New Roman"/>
                <w:szCs w:val="24"/>
              </w:rPr>
              <w:t xml:space="preserve"> за обхват и съдържание на СЕО на ПРСР (2014-2020) и </w:t>
            </w:r>
            <w:r>
              <w:rPr>
                <w:rStyle w:val="DefaultParagraphFont"/>
                <w:rFonts w:ascii="Times New Roman" w:eastAsia="Times New Roman" w:hAnsi="Times New Roman" w:cs="Times New Roman"/>
                <w:i/>
                <w:iCs/>
                <w:szCs w:val="24"/>
              </w:rPr>
              <w:t>Схема</w:t>
            </w:r>
            <w:r>
              <w:rPr>
                <w:rStyle w:val="DefaultParagraphFont"/>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се приема частично.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Селските територии имат голям потенциал за развитие на </w:t>
            </w:r>
            <w:r>
              <w:rPr>
                <w:rStyle w:val="DefaultParagraphFont"/>
                <w:rFonts w:ascii="Times New Roman" w:eastAsia="Times New Roman" w:hAnsi="Times New Roman" w:cs="Times New Roman"/>
                <w:i/>
                <w:iCs/>
                <w:szCs w:val="24"/>
              </w:rPr>
              <w:t>устойчив туризъм</w:t>
            </w:r>
            <w:r>
              <w:rPr>
                <w:rStyle w:val="DefaultParagraphFont"/>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създадена в </w:t>
            </w:r>
            <w:r>
              <w:rPr>
                <w:rStyle w:val="DefaultParagraphFont"/>
                <w:rFonts w:ascii="Times New Roman" w:eastAsia="Times New Roman" w:hAnsi="Times New Roman" w:cs="Times New Roman"/>
                <w:i/>
                <w:iCs/>
                <w:szCs w:val="24"/>
              </w:rPr>
              <w:t>селското стопанство</w:t>
            </w:r>
            <w:r>
              <w:rPr>
                <w:rStyle w:val="DefaultParagraphFont"/>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използваната земеделска площ</w:t>
            </w:r>
            <w:r>
              <w:rPr>
                <w:rStyle w:val="DefaultParagraphFont"/>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данни от преброяването през 2010 г., </w:t>
            </w:r>
            <w:r>
              <w:rPr>
                <w:rStyle w:val="DefaultParagraphFont"/>
                <w:rFonts w:ascii="Times New Roman" w:eastAsia="Times New Roman" w:hAnsi="Times New Roman" w:cs="Times New Roman"/>
                <w:i/>
                <w:iCs/>
                <w:szCs w:val="24"/>
              </w:rPr>
              <w:t>броят на земеделските стопанства</w:t>
            </w:r>
            <w:r>
              <w:rPr>
                <w:rStyle w:val="DefaultParagraphFont"/>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2010 г. постоянната </w:t>
            </w:r>
            <w:r>
              <w:rPr>
                <w:rStyle w:val="DefaultParagraphFont"/>
                <w:rFonts w:ascii="Times New Roman" w:eastAsia="Times New Roman" w:hAnsi="Times New Roman" w:cs="Times New Roman"/>
                <w:i/>
                <w:iCs/>
                <w:szCs w:val="24"/>
              </w:rPr>
              <w:t>работна сила в земеделието</w:t>
            </w:r>
            <w:r>
              <w:rPr>
                <w:rStyle w:val="DefaultParagraphFont"/>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 структура на 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 xml:space="preserve">бруто образуването на основен капитал </w:t>
            </w:r>
            <w:r>
              <w:rPr>
                <w:rStyle w:val="DefaultParagraphFont"/>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Проучванията показват, че </w:t>
            </w:r>
            <w:r>
              <w:rPr>
                <w:rStyle w:val="DefaultParagraphFont"/>
                <w:rFonts w:ascii="Times New Roman" w:eastAsia="Times New Roman" w:hAnsi="Times New Roman" w:cs="Times New Roman"/>
                <w:i/>
                <w:iCs/>
                <w:szCs w:val="24"/>
              </w:rPr>
              <w:t>инвестициите в нови продукти и технологии</w:t>
            </w:r>
            <w:r>
              <w:rPr>
                <w:rStyle w:val="DefaultParagraphFont"/>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България има слаби хоризонтални и вертикални връзки в </w:t>
            </w:r>
            <w:r>
              <w:rPr>
                <w:rStyle w:val="DefaultParagraphFont"/>
                <w:rFonts w:ascii="Times New Roman" w:eastAsia="Times New Roman" w:hAnsi="Times New Roman" w:cs="Times New Roman"/>
                <w:i/>
                <w:iCs/>
                <w:szCs w:val="24"/>
              </w:rPr>
              <w:t>хранителната верига</w:t>
            </w:r>
            <w:r>
              <w:rPr>
                <w:rStyle w:val="DefaultParagraphFont"/>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w:t>
            </w:r>
            <w:r>
              <w:rPr>
                <w:rStyle w:val="DefaultParagraphFont"/>
                <w:rFonts w:ascii="Times New Roman" w:eastAsia="Times New Roman" w:hAnsi="Times New Roman" w:cs="Times New Roman"/>
                <w:i/>
                <w:iCs/>
                <w:szCs w:val="24"/>
              </w:rPr>
              <w:t xml:space="preserve">. </w:t>
            </w:r>
            <w:r>
              <w:rPr>
                <w:rStyle w:val="DefaultParagraphFont"/>
                <w:rFonts w:ascii="Times New Roman" w:eastAsia="Times New Roman" w:hAnsi="Times New Roman" w:cs="Times New Roman"/>
                <w:szCs w:val="24"/>
              </w:rPr>
              <w:t>БДС на</w:t>
            </w:r>
            <w:r>
              <w:rPr>
                <w:rStyle w:val="DefaultParagraphFont"/>
                <w:rFonts w:ascii="Times New Roman" w:eastAsia="Times New Roman" w:hAnsi="Times New Roman" w:cs="Times New Roman"/>
                <w:i/>
                <w:iCs/>
                <w:szCs w:val="24"/>
              </w:rPr>
              <w:t xml:space="preserve"> хранително-вкусовата промишленост</w:t>
            </w:r>
            <w:r>
              <w:rPr>
                <w:rStyle w:val="DefaultParagraphFont"/>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w:t>
            </w:r>
            <w:r>
              <w:rPr>
                <w:rStyle w:val="DefaultParagraphFont"/>
                <w:rFonts w:ascii="Times New Roman" w:eastAsia="Times New Roman" w:hAnsi="Times New Roman" w:cs="Times New Roman"/>
                <w:i/>
                <w:iCs/>
                <w:szCs w:val="24"/>
              </w:rPr>
              <w:t>външнотърговския оборот</w:t>
            </w:r>
            <w:r>
              <w:rPr>
                <w:rStyle w:val="DefaultParagraphFont"/>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разполага със значителен потенциал за осъществяване на </w:t>
            </w:r>
            <w:r>
              <w:rPr>
                <w:rStyle w:val="DefaultParagraphFont"/>
                <w:rFonts w:ascii="Times New Roman" w:eastAsia="Times New Roman" w:hAnsi="Times New Roman" w:cs="Times New Roman"/>
                <w:i/>
                <w:iCs/>
                <w:szCs w:val="24"/>
              </w:rPr>
              <w:t>научно-изследователска и развойна дейност</w:t>
            </w:r>
            <w:r>
              <w:rPr>
                <w:rStyle w:val="DefaultParagraphFont"/>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Горските територии</w:t>
            </w:r>
            <w:r>
              <w:rPr>
                <w:rStyle w:val="DefaultParagraphFont"/>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в </w:t>
            </w:r>
            <w:r>
              <w:rPr>
                <w:rStyle w:val="DefaultParagraphFont"/>
                <w:rFonts w:ascii="Times New Roman" w:eastAsia="Times New Roman" w:hAnsi="Times New Roman" w:cs="Times New Roman"/>
                <w:i/>
                <w:iCs/>
                <w:szCs w:val="24"/>
              </w:rPr>
              <w:t>горското стопанство и дърводобива</w:t>
            </w:r>
            <w:r>
              <w:rPr>
                <w:rStyle w:val="DefaultParagraphFont"/>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Общият брой на промишлените предприятията за </w:t>
            </w:r>
            <w:r>
              <w:rPr>
                <w:rStyle w:val="DefaultParagraphFont"/>
                <w:rFonts w:ascii="Times New Roman" w:eastAsia="Times New Roman" w:hAnsi="Times New Roman" w:cs="Times New Roman"/>
                <w:i/>
                <w:iCs/>
                <w:szCs w:val="24"/>
              </w:rPr>
              <w:t>производство на дървен материал и изделия от него</w:t>
            </w:r>
            <w:r>
              <w:rPr>
                <w:rStyle w:val="DefaultParagraphFont"/>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Style w:val="DefaultParagraphFont"/>
                <w:rFonts w:ascii="Times New Roman" w:eastAsia="Times New Roman" w:hAnsi="Times New Roman" w:cs="Times New Roman"/>
                <w:i/>
                <w:iCs/>
                <w:szCs w:val="24"/>
              </w:rPr>
              <w:t>биоразнообразие</w:t>
            </w:r>
            <w:r>
              <w:rPr>
                <w:rStyle w:val="DefaultParagraphFont"/>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физическите блокове обработваемите земи с потенциално </w:t>
            </w:r>
            <w:r>
              <w:rPr>
                <w:rStyle w:val="DefaultParagraphFont"/>
                <w:rFonts w:ascii="Times New Roman" w:eastAsia="Times New Roman" w:hAnsi="Times New Roman" w:cs="Times New Roman"/>
                <w:i/>
                <w:iCs/>
                <w:szCs w:val="24"/>
              </w:rPr>
              <w:t xml:space="preserve">ВПС </w:t>
            </w:r>
            <w:r>
              <w:rPr>
                <w:rStyle w:val="DefaultParagraphFont"/>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отличава с относително значими пресни </w:t>
            </w:r>
            <w:r>
              <w:rPr>
                <w:rStyle w:val="DefaultParagraphFont"/>
                <w:rFonts w:ascii="Times New Roman" w:eastAsia="Times New Roman" w:hAnsi="Times New Roman" w:cs="Times New Roman"/>
                <w:i/>
                <w:iCs/>
                <w:szCs w:val="24"/>
              </w:rPr>
              <w:t>водни ресурси</w:t>
            </w:r>
            <w:r>
              <w:rPr>
                <w:rStyle w:val="DefaultParagraphFont"/>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w:t>
            </w:r>
            <w:r>
              <w:rPr>
                <w:rStyle w:val="DefaultParagraphFont"/>
                <w:rFonts w:ascii="Times New Roman" w:eastAsia="Times New Roman" w:hAnsi="Times New Roman" w:cs="Times New Roman"/>
                <w:i/>
                <w:iCs/>
                <w:szCs w:val="24"/>
              </w:rPr>
              <w:t>нитратно уязвимите зони</w:t>
            </w:r>
            <w:r>
              <w:rPr>
                <w:rStyle w:val="DefaultParagraphFont"/>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Значителна част от </w:t>
            </w:r>
            <w:r>
              <w:rPr>
                <w:rStyle w:val="DefaultParagraphFont"/>
                <w:rFonts w:ascii="Times New Roman" w:eastAsia="Times New Roman" w:hAnsi="Times New Roman" w:cs="Times New Roman"/>
                <w:i/>
                <w:iCs/>
                <w:szCs w:val="24"/>
              </w:rPr>
              <w:t>почвите</w:t>
            </w:r>
            <w:r>
              <w:rPr>
                <w:rStyle w:val="DefaultParagraphFont"/>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емисиите парникови газове</w:t>
            </w:r>
            <w:r>
              <w:rPr>
                <w:rStyle w:val="DefaultParagraphFont"/>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Поглъщането на парникови газове</w:t>
            </w:r>
            <w:r>
              <w:rPr>
                <w:rStyle w:val="DefaultParagraphFont"/>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Необлагодетелстваните райони</w:t>
            </w:r>
            <w:r>
              <w:rPr>
                <w:rStyle w:val="DefaultParagraphFont"/>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края на 2011 г. делът на произведената </w:t>
            </w:r>
            <w:r>
              <w:rPr>
                <w:rStyle w:val="DefaultParagraphFont"/>
                <w:rFonts w:ascii="Times New Roman" w:eastAsia="Times New Roman" w:hAnsi="Times New Roman" w:cs="Times New Roman"/>
                <w:i/>
                <w:iCs/>
                <w:szCs w:val="24"/>
              </w:rPr>
              <w:t>енергия от възобновяеми източници</w:t>
            </w:r>
            <w:r>
              <w:rPr>
                <w:rStyle w:val="DefaultParagraphFont"/>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Горите със защитни и специални функции</w:t>
            </w:r>
            <w:r>
              <w:rPr>
                <w:rStyle w:val="DefaultParagraphFont"/>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Инвентаризирани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Поляризирана структура на стопанствата;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механизми за управление на риска;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Монокултурни производствени модели;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екосистемните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30"/>
              </w:numPr>
              <w:spacing w:before="0" w:after="240"/>
              <w:ind w:left="1440" w:hanging="93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564"/>
        <w:gridCol w:w="905"/>
        <w:gridCol w:w="4179"/>
        <w:gridCol w:w="75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specific rural definition used for targets T21; T22 and T24 (if relevant)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6497"/>
        <w:gridCol w:w="905"/>
        <w:gridCol w:w="2246"/>
        <w:gridCol w:w="75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626"/>
        <w:gridCol w:w="905"/>
        <w:gridCol w:w="3882"/>
        <w:gridCol w:w="98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1"/>
              </w:numPr>
              <w:rPr>
                <w:b w:val="0"/>
              </w:rPr>
            </w:pPr>
            <w:r>
              <w:rPr>
                <w:b w:val="0"/>
              </w:rPr>
              <w:t>1А) Стимулиране на иновациите, сътрудничеството и развитието на базата от знания в селските райони</w:t>
            </w:r>
          </w:p>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1"/>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1А) Стимулиране на иновациите, сътрудничеството и развитието на базата от знания в селските райони</w:t>
            </w:r>
          </w:p>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3"/>
              </w:numPr>
              <w:rPr>
                <w:b w:val="0"/>
              </w:rPr>
            </w:pPr>
            <w:r>
              <w:rPr>
                <w:b w:val="0"/>
              </w:rPr>
              <w:t xml:space="preserve">4Б) Подобряване управлението на водите, включително управлението на торовете и пестицидите </w:t>
            </w:r>
          </w:p>
          <w:p>
            <w:pPr>
              <w:numPr>
                <w:numId w:val="33"/>
              </w:numPr>
              <w:rPr>
                <w:b w:val="0"/>
              </w:rPr>
            </w:pPr>
            <w:r>
              <w:rPr>
                <w:b w:val="0"/>
              </w:rPr>
              <w:t>4В) Предотвратяване на ерозията на почвите и подобряване на управлението им</w:t>
            </w:r>
          </w:p>
          <w:p>
            <w:pPr>
              <w:numPr>
                <w:numId w:val="33"/>
              </w:numPr>
              <w:rPr>
                <w:b w:val="0"/>
              </w:rPr>
            </w:pPr>
            <w:r>
              <w:rPr>
                <w:b w:val="0"/>
              </w:rPr>
              <w:t xml:space="preserve">5А) Повишаване на ефективността при потреблението на вода в селското стопанство </w:t>
            </w:r>
          </w:p>
          <w:p>
            <w:pPr>
              <w:numPr>
                <w:numId w:val="3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3"/>
              </w:numPr>
              <w:rPr>
                <w:b w:val="0"/>
              </w:rPr>
            </w:pPr>
            <w:r>
              <w:rPr>
                <w:b w:val="0"/>
              </w:rPr>
              <w:t>5Г) Намаляване на емисиите на парникови газове и амоняк от селското стопанство</w:t>
            </w:r>
          </w:p>
          <w:p>
            <w:pPr>
              <w:numPr>
                <w:numId w:val="3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 xml:space="preserve">4Б) Подобряване управлението на водите, включително управлението на торовете и пестицидите </w:t>
            </w:r>
          </w:p>
          <w:p>
            <w:pPr>
              <w:numPr>
                <w:numId w:val="35"/>
              </w:numPr>
              <w:rPr>
                <w:b w:val="0"/>
              </w:rPr>
            </w:pPr>
            <w:r>
              <w:rPr>
                <w:b w:val="0"/>
              </w:rPr>
              <w:t>4В) Предотвратяване на ерозията на почвите и подобряване на управлението им</w:t>
            </w:r>
          </w:p>
          <w:p>
            <w:pPr>
              <w:numPr>
                <w:numId w:val="35"/>
              </w:numPr>
              <w:rPr>
                <w:b w:val="0"/>
              </w:rPr>
            </w:pPr>
            <w:r>
              <w:rPr>
                <w:b w:val="0"/>
              </w:rPr>
              <w:t xml:space="preserve">5А) Повишаване на ефективността при потреблението на вода в селското стопанство </w:t>
            </w:r>
          </w:p>
          <w:p>
            <w:pPr>
              <w:numPr>
                <w:numId w:val="3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5"/>
              </w:numPr>
              <w:rPr>
                <w:b w:val="0"/>
              </w:rPr>
            </w:pPr>
            <w:r>
              <w:rPr>
                <w:b w:val="0"/>
              </w:rPr>
              <w:t>5Г) Намаляване на емисиите на парникови газове и амоняк от селското стопанство</w:t>
            </w:r>
          </w:p>
          <w:p>
            <w:pPr>
              <w:numPr>
                <w:numId w:val="3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p>
            <w:pPr>
              <w:numPr>
                <w:numId w:val="3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8"/>
              </w:numPr>
              <w:rPr>
                <w:b w:val="0"/>
              </w:rPr>
            </w:pPr>
            <w:r>
              <w:rPr>
                <w:b w:val="0"/>
              </w:rPr>
              <w:t xml:space="preserve">4Б) Подобряване управлението на водите, включително управлението на торовете и пестицидите </w:t>
            </w:r>
          </w:p>
          <w:p>
            <w:pPr>
              <w:numPr>
                <w:numId w:val="38"/>
              </w:numPr>
              <w:rPr>
                <w:b w:val="0"/>
              </w:rPr>
            </w:pPr>
            <w:r>
              <w:rPr>
                <w:b w:val="0"/>
              </w:rPr>
              <w:t>4В) Предотвратяване на ерозията на почвите и подобряване на управлението им</w:t>
            </w:r>
          </w:p>
          <w:p>
            <w:pPr>
              <w:numPr>
                <w:numId w:val="38"/>
              </w:numPr>
              <w:rPr>
                <w:b w:val="0"/>
              </w:rPr>
            </w:pPr>
            <w:r>
              <w:rPr>
                <w:b w:val="0"/>
              </w:rPr>
              <w:t xml:space="preserve">5А) Повишаване на ефективността при потреблението на вода в селското стопанство </w:t>
            </w:r>
          </w:p>
          <w:p>
            <w:pPr>
              <w:numPr>
                <w:numId w:val="3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8"/>
              </w:numPr>
              <w:rPr>
                <w:b w:val="0"/>
              </w:rPr>
            </w:pPr>
            <w:r>
              <w:rPr>
                <w:b w:val="0"/>
              </w:rPr>
              <w:t>5Г) Намаляване на емисиите на парникови газове и амоняк от селското стопанство</w:t>
            </w:r>
          </w:p>
          <w:p>
            <w:pPr>
              <w:numPr>
                <w:numId w:val="3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Околна среда</w:t>
            </w:r>
          </w:p>
          <w:p>
            <w:pPr>
              <w:numPr>
                <w:numId w:val="39"/>
              </w:numPr>
              <w:rPr>
                <w:b w:val="0"/>
              </w:rPr>
            </w:pPr>
            <w:r>
              <w:rPr>
                <w:b w:val="0"/>
              </w:rPr>
              <w:t>Смекчаване на последиците от изменението на климата и приспособяване към тях</w:t>
            </w:r>
          </w:p>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Околна среда</w:t>
            </w:r>
          </w:p>
          <w:p>
            <w:pPr>
              <w:numPr>
                <w:numId w:val="41"/>
              </w:numPr>
              <w:rPr>
                <w:b w:val="0"/>
              </w:rPr>
            </w:pPr>
            <w:r>
              <w:rPr>
                <w:b w:val="0"/>
              </w:rPr>
              <w:t>Смекчаване на последиците от изменението на климата и приспособяване към тях</w:t>
            </w:r>
          </w:p>
          <w:p>
            <w:pPr>
              <w:numPr>
                <w:numId w:val="4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4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4"/>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Съществуващата </w:t>
            </w:r>
            <w:r>
              <w:rPr>
                <w:rStyle w:val="DefaultParagraphFont"/>
                <w:rFonts w:ascii="Times New Roman" w:eastAsia="Times New Roman" w:hAnsi="Times New Roman" w:cs="Times New Roman"/>
                <w:i/>
                <w:iCs/>
                <w:szCs w:val="24"/>
              </w:rPr>
              <w:t>значителна разпокъсаност на поземлената собственост</w:t>
            </w:r>
            <w:r>
              <w:rPr>
                <w:rStyle w:val="DefaultParagraphFont"/>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5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5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Околна среда</w:t>
            </w:r>
          </w:p>
          <w:p>
            <w:pPr>
              <w:numPr>
                <w:numId w:val="6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8"/>
              </w:numPr>
              <w:rPr>
                <w:b w:val="0"/>
              </w:rPr>
            </w:pPr>
            <w:r>
              <w:rPr>
                <w:b w:val="0"/>
              </w:rPr>
              <w:t xml:space="preserve">4Б) Подобряване управлението на водите, включително управлението на торовете и пестицидите </w:t>
            </w:r>
          </w:p>
          <w:p>
            <w:pPr>
              <w:numPr>
                <w:numId w:val="68"/>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70"/>
              </w:numPr>
              <w:rPr>
                <w:b w:val="0"/>
              </w:rPr>
            </w:pPr>
            <w:r>
              <w:rPr>
                <w:b w:val="0"/>
              </w:rPr>
              <w:t xml:space="preserve">4Б) Подобряване управлението на водите, включително управлението на торовете и пестицидите </w:t>
            </w:r>
          </w:p>
          <w:p>
            <w:pPr>
              <w:numPr>
                <w:numId w:val="70"/>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Околна среда</w:t>
            </w:r>
          </w:p>
          <w:p>
            <w:pPr>
              <w:numPr>
                <w:numId w:val="7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Околна среда. Адаптация към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7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4В) Предотвратяване на ерозията на почвите и подобряване на управлението им</w:t>
            </w:r>
          </w:p>
          <w:p>
            <w:pPr>
              <w:numPr>
                <w:numId w:val="7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Смекчаване на последиците от изменението на климата и приспособяване към тях</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 xml:space="preserve">5А) Повишаване на ефективността при потреблението на вода в селското стопанство </w:t>
            </w:r>
          </w:p>
          <w:p>
            <w:pPr>
              <w:numPr>
                <w:numId w:val="8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1А) Стимулиране на иновациите, сътрудничеството и развитието на базата от знания в селските райони</w:t>
            </w:r>
          </w:p>
          <w:p>
            <w:pPr>
              <w:numPr>
                <w:numId w:val="8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Околна среда</w:t>
            </w:r>
          </w:p>
          <w:p>
            <w:pPr>
              <w:numPr>
                <w:numId w:val="8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9"/>
              </w:numPr>
              <w:rPr>
                <w:b w:val="0"/>
              </w:rPr>
            </w:pPr>
            <w:r>
              <w:rPr>
                <w:b w:val="0"/>
              </w:rPr>
              <w:t xml:space="preserve">6Б) Стимулиране на местното развитие в селските райони </w:t>
            </w:r>
          </w:p>
          <w:p>
            <w:pPr>
              <w:numPr>
                <w:numId w:val="89"/>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Style w:val="DefaultParagraphFont"/>
                <w:rFonts w:ascii="Times New Roman" w:eastAsia="Times New Roman" w:hAnsi="Times New Roman" w:cs="Times New Roman"/>
                <w:i/>
                <w:iCs/>
                <w:szCs w:val="24"/>
              </w:rPr>
              <w:t xml:space="preserve">(Тази потребност се адресира от ОПРЧР и </w:t>
            </w:r>
            <w:r>
              <w:rPr>
                <w:rStyle w:val="DefaultParagraphFont"/>
                <w:rFonts w:ascii="Times New Roman" w:eastAsia="Times New Roman" w:hAnsi="Times New Roman" w:cs="Times New Roman"/>
                <w:szCs w:val="24"/>
              </w:rPr>
              <w:t>ОПДУ</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Първата цел </w:t>
            </w:r>
            <w:r>
              <w:rPr>
                <w:rStyle w:val="DefaultParagraphFont"/>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Интервенциите по Приоритет 2 целят </w:t>
            </w:r>
            <w:r>
              <w:rPr>
                <w:rStyle w:val="DefaultParagraphFont"/>
                <w:rFonts w:ascii="Times New Roman" w:eastAsia="Times New Roman" w:hAnsi="Times New Roman" w:cs="Times New Roman"/>
                <w:i/>
                <w:iCs/>
                <w:szCs w:val="24"/>
              </w:rPr>
              <w:t xml:space="preserve">повишаване на жизнеспособността и конкурентоспособността </w:t>
            </w:r>
            <w:r>
              <w:rPr>
                <w:rStyle w:val="DefaultParagraphFont"/>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Style w:val="DefaultParagraphFont"/>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 интервенциите за </w:t>
            </w:r>
            <w:r>
              <w:rPr>
                <w:rStyle w:val="DefaultParagraphFont"/>
                <w:rFonts w:ascii="Times New Roman" w:eastAsia="Times New Roman" w:hAnsi="Times New Roman" w:cs="Times New Roman"/>
                <w:i/>
                <w:iCs/>
                <w:szCs w:val="24"/>
              </w:rPr>
              <w:t>насърчаване на организацията на хранителната верига</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i/>
                <w:iCs/>
                <w:szCs w:val="24"/>
              </w:rPr>
              <w:t xml:space="preserve">управлението на риска </w:t>
            </w:r>
            <w:r>
              <w:rPr>
                <w:rStyle w:val="DefaultParagraphFont"/>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Style w:val="DefaultParagraphFont"/>
                <w:rFonts w:ascii="Times New Roman" w:eastAsia="Times New Roman" w:hAnsi="Times New Roman" w:cs="Times New Roman"/>
                <w:b/>
                <w:bCs/>
                <w:szCs w:val="24"/>
              </w:rPr>
              <w:t>620 стопанства</w:t>
            </w:r>
            <w:r>
              <w:rPr>
                <w:rStyle w:val="DefaultParagraphFont"/>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Втората цел </w:t>
            </w:r>
            <w:r>
              <w:rPr>
                <w:rStyle w:val="DefaultParagraphFont"/>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Style w:val="DefaultParagraphFont"/>
                <w:rFonts w:ascii="Times New Roman" w:eastAsia="Times New Roman" w:hAnsi="Times New Roman" w:cs="Times New Roman"/>
                <w:b/>
                <w:bCs/>
                <w:szCs w:val="24"/>
              </w:rPr>
              <w:t>537 хил. ха</w:t>
            </w:r>
            <w:r>
              <w:rPr>
                <w:rStyle w:val="DefaultParagraphFont"/>
                <w:rFonts w:ascii="Times New Roman" w:eastAsia="Times New Roman" w:hAnsi="Times New Roman" w:cs="Times New Roman"/>
                <w:szCs w:val="24"/>
              </w:rPr>
              <w:t xml:space="preserve"> земеделска земя и </w:t>
            </w:r>
            <w:r>
              <w:rPr>
                <w:rStyle w:val="DefaultParagraphFont"/>
                <w:rFonts w:ascii="Times New Roman" w:eastAsia="Times New Roman" w:hAnsi="Times New Roman" w:cs="Times New Roman"/>
                <w:b/>
                <w:bCs/>
                <w:szCs w:val="24"/>
              </w:rPr>
              <w:t>101 хил. ха</w:t>
            </w:r>
            <w:r>
              <w:rPr>
                <w:rStyle w:val="DefaultParagraphFont"/>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Style w:val="DefaultParagraphFont"/>
                <w:rFonts w:ascii="Times New Roman" w:eastAsia="Times New Roman" w:hAnsi="Times New Roman" w:cs="Times New Roman"/>
                <w:b/>
                <w:bCs/>
                <w:szCs w:val="24"/>
              </w:rPr>
              <w:t>53 хил. ха</w:t>
            </w:r>
            <w:r>
              <w:rPr>
                <w:rStyle w:val="DefaultParagraphFont"/>
                <w:rFonts w:ascii="Times New Roman" w:eastAsia="Times New Roman" w:hAnsi="Times New Roman" w:cs="Times New Roman"/>
                <w:szCs w:val="24"/>
              </w:rPr>
              <w:t xml:space="preserve">, и подобряване на управлението на водите на </w:t>
            </w:r>
            <w:r>
              <w:rPr>
                <w:rStyle w:val="DefaultParagraphFont"/>
                <w:rFonts w:ascii="Times New Roman" w:eastAsia="Times New Roman" w:hAnsi="Times New Roman" w:cs="Times New Roman"/>
                <w:b/>
                <w:bCs/>
                <w:szCs w:val="24"/>
              </w:rPr>
              <w:t>113 хил. ха</w:t>
            </w:r>
            <w:r>
              <w:rPr>
                <w:rStyle w:val="DefaultParagraphFont"/>
                <w:rFonts w:ascii="Times New Roman" w:eastAsia="Times New Roman" w:hAnsi="Times New Roman" w:cs="Times New Roman"/>
                <w:szCs w:val="24"/>
              </w:rPr>
              <w:t>.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Style w:val="DefaultParagraphFont"/>
                <w:rFonts w:ascii="Times New Roman" w:eastAsia="Times New Roman" w:hAnsi="Times New Roman" w:cs="Times New Roman"/>
                <w:b/>
                <w:bCs/>
                <w:szCs w:val="24"/>
              </w:rPr>
              <w:t>217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Style w:val="DefaultParagraphFont"/>
                <w:rFonts w:ascii="Times New Roman" w:eastAsia="Times New Roman" w:hAnsi="Times New Roman" w:cs="Times New Roman"/>
                <w:b/>
                <w:bCs/>
                <w:szCs w:val="24"/>
              </w:rPr>
              <w:t>150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Style w:val="DefaultParagraphFont"/>
                <w:rFonts w:ascii="Times New Roman" w:eastAsia="Times New Roman" w:hAnsi="Times New Roman" w:cs="Times New Roman"/>
                <w:b/>
                <w:bCs/>
                <w:szCs w:val="24"/>
              </w:rPr>
              <w:t>18 хил. ж.е</w:t>
            </w:r>
            <w:r>
              <w:rPr>
                <w:rStyle w:val="DefaultParagraphFont"/>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Третата цел </w:t>
            </w:r>
            <w:r>
              <w:rPr>
                <w:rStyle w:val="DefaultParagraphFont"/>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6А Програмата цели подпомагането на </w:t>
            </w:r>
            <w:r>
              <w:rPr>
                <w:rStyle w:val="DefaultParagraphFont"/>
                <w:rFonts w:ascii="Times New Roman" w:eastAsia="Times New Roman" w:hAnsi="Times New Roman" w:cs="Times New Roman"/>
                <w:b/>
                <w:bCs/>
                <w:szCs w:val="24"/>
              </w:rPr>
              <w:t>1600 проекта</w:t>
            </w:r>
            <w:r>
              <w:rPr>
                <w:rStyle w:val="DefaultParagraphFont"/>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Style w:val="DefaultParagraphFont"/>
                <w:rFonts w:ascii="Times New Roman" w:eastAsia="Times New Roman" w:hAnsi="Times New Roman" w:cs="Times New Roman"/>
                <w:b/>
                <w:bCs/>
                <w:szCs w:val="24"/>
              </w:rPr>
              <w:t>4 300 нови работни места</w:t>
            </w:r>
            <w:r>
              <w:rPr>
                <w:rStyle w:val="DefaultParagraphFont"/>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995 хил. жители</w:t>
            </w:r>
            <w:r>
              <w:rPr>
                <w:rStyle w:val="DefaultParagraphFont"/>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Style w:val="DefaultParagraphFont"/>
                <w:rFonts w:ascii="Times New Roman" w:eastAsia="Times New Roman" w:hAnsi="Times New Roman" w:cs="Times New Roman"/>
                <w:b/>
                <w:bCs/>
                <w:szCs w:val="24"/>
              </w:rPr>
              <w:t>60 МИГ</w:t>
            </w:r>
            <w:r>
              <w:rPr>
                <w:rStyle w:val="DefaultParagraphFont"/>
                <w:rFonts w:ascii="Times New Roman" w:eastAsia="Times New Roman" w:hAnsi="Times New Roman" w:cs="Times New Roman"/>
                <w:szCs w:val="24"/>
              </w:rPr>
              <w:t xml:space="preserve">, обхващащи </w:t>
            </w:r>
            <w:r>
              <w:rPr>
                <w:rStyle w:val="DefaultParagraphFont"/>
                <w:rFonts w:ascii="Times New Roman" w:eastAsia="Times New Roman" w:hAnsi="Times New Roman" w:cs="Times New Roman"/>
                <w:b/>
                <w:bCs/>
                <w:szCs w:val="24"/>
              </w:rPr>
              <w:t>48%</w:t>
            </w:r>
            <w:r>
              <w:rPr>
                <w:rStyle w:val="DefaultParagraphFont"/>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М01 — Трансфер на знания и действия за осведомяване (член 14)</w:t>
            </w:r>
          </w:p>
          <w:p>
            <w:pPr>
              <w:numPr>
                <w:numId w:val="9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4"/>
              </w:numPr>
              <w:rPr>
                <w:b w:val="0"/>
              </w:rPr>
            </w:pPr>
            <w:r>
              <w:rPr>
                <w:b w:val="0"/>
              </w:rPr>
              <w:t>M04 — Инвестиции в материални активи (член 17)</w:t>
            </w:r>
          </w:p>
          <w:p>
            <w:pPr>
              <w:numPr>
                <w:numId w:val="94"/>
              </w:numPr>
              <w:rPr>
                <w:b w:val="0"/>
              </w:rPr>
            </w:pPr>
            <w:r>
              <w:rPr>
                <w:b w:val="0"/>
              </w:rPr>
              <w:t>M06 — Развитие на стопанства и предприятия (член 19)</w:t>
            </w:r>
          </w:p>
          <w:p>
            <w:pPr>
              <w:numPr>
                <w:numId w:val="9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100,9 млн. евро публични разходи (3,5%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М01 — Трансфер на знания и действия за осведомяване (член 14)</w:t>
            </w:r>
          </w:p>
          <w:p>
            <w:pPr>
              <w:numPr>
                <w:numId w:val="9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7"/>
              </w:numPr>
              <w:rPr>
                <w:b w:val="0"/>
              </w:rPr>
            </w:pPr>
            <w:r>
              <w:rPr>
                <w:b w:val="0"/>
              </w:rPr>
              <w:t>M04 — Инвестиции в материални активи (член 17)</w:t>
            </w:r>
          </w:p>
          <w:p>
            <w:pPr>
              <w:numPr>
                <w:numId w:val="97"/>
              </w:numPr>
              <w:rPr>
                <w:b w:val="0"/>
              </w:rPr>
            </w:pPr>
            <w:r>
              <w:rPr>
                <w:b w:val="0"/>
              </w:rPr>
              <w:t>M06 — Развитие на стопанства и предприятия (член 19)</w:t>
            </w:r>
          </w:p>
          <w:p>
            <w:pPr>
              <w:numPr>
                <w:numId w:val="97"/>
              </w:numPr>
              <w:rPr>
                <w:b w:val="0"/>
              </w:rPr>
            </w:pPr>
            <w:r>
              <w:rPr>
                <w:b w:val="0"/>
              </w:rPr>
              <w:t>M09 — Създаване на групи и организации на производителите (член 27)</w:t>
            </w:r>
          </w:p>
          <w:p>
            <w:pPr>
              <w:numPr>
                <w:numId w:val="97"/>
              </w:numPr>
              <w:rPr>
                <w:b w:val="0"/>
              </w:rPr>
            </w:pPr>
            <w:r>
              <w:rPr>
                <w:b w:val="0"/>
              </w:rPr>
              <w:t>M14 — Хуманно отношение към животните (член 33)</w:t>
            </w:r>
          </w:p>
          <w:p>
            <w:pPr>
              <w:numPr>
                <w:numId w:val="97"/>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272,5 млн. евро или 9,3%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1555 проекта, като тя има бюджет от 191,9 млн. евро публични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M10 — Агроекология и климат (член 28)</w:t>
            </w:r>
          </w:p>
          <w:p>
            <w:pPr>
              <w:numPr>
                <w:numId w:val="99"/>
              </w:numPr>
              <w:rPr>
                <w:b w:val="0"/>
              </w:rPr>
            </w:pPr>
            <w:r>
              <w:rPr>
                <w:b w:val="0"/>
              </w:rPr>
              <w:t>М11 — Биологично земеделие (член 29)</w:t>
            </w:r>
          </w:p>
          <w:p>
            <w:pPr>
              <w:numPr>
                <w:numId w:val="99"/>
              </w:numPr>
              <w:rPr>
                <w:b w:val="0"/>
              </w:rPr>
            </w:pPr>
            <w:r>
              <w:rPr>
                <w:b w:val="0"/>
              </w:rPr>
              <w:t>M12 — Плащания по „Натура 2000“ и Рамковата директива за водите (член 30)</w:t>
            </w:r>
          </w:p>
          <w:p>
            <w:pPr>
              <w:numPr>
                <w:numId w:val="99"/>
              </w:numPr>
              <w:rPr>
                <w:b w:val="0"/>
              </w:rPr>
            </w:pPr>
            <w:r>
              <w:rPr>
                <w:b w:val="0"/>
              </w:rPr>
              <w:t>М13 — Плащания за райони, изправени пред природни или други специфични ограничения (член 31)</w:t>
            </w:r>
          </w:p>
          <w:p>
            <w:pPr>
              <w:numPr>
                <w:numId w:val="99"/>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rPr>
                <w:b w:val="0"/>
              </w:rPr>
            </w:pPr>
            <w:r>
              <w:rPr>
                <w:b w:val="0"/>
              </w:rPr>
              <w:t>М08 — Инвестиции в развитие на горските райони и подобряване на жизнеспособността на горите (членове 21 — 26)</w:t>
            </w:r>
          </w:p>
          <w:p>
            <w:pPr>
              <w:numPr>
                <w:numId w:val="100"/>
              </w:numPr>
              <w:rPr>
                <w:b w:val="0"/>
              </w:rPr>
            </w:pPr>
            <w:r>
              <w:rPr>
                <w:b w:val="0"/>
              </w:rPr>
              <w:t>M12 — Плащания по „Натура 2000“ и Рамковата директива за водите (член 30)</w:t>
            </w:r>
          </w:p>
          <w:p>
            <w:pPr>
              <w:numPr>
                <w:numId w:val="100"/>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Приоритет 4 е отделен бюджет от  983,1 млн. евро публични разходи или 33,7% от общия бюджет на Програмата. В рамките на приоритета са избрани: 1) мерки – М01, М02 и М16, които имат бюджет 16,9 млн. евро; 2)  мерки– М10, М11, М12,М13, с бюджет 780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4) мерки за екосистемни услуги в горите, с бюджет 25,81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M10 — Агроекология и климат (член 28)</w:t>
            </w:r>
          </w:p>
          <w:p>
            <w:pPr>
              <w:numPr>
                <w:numId w:val="101"/>
              </w:numPr>
            </w:pPr>
            <w:r>
              <w:t>М11 — Биологично земеделие (член 29)</w:t>
            </w:r>
          </w:p>
          <w:p>
            <w:pPr>
              <w:numPr>
                <w:numId w:val="101"/>
              </w:numPr>
            </w:pPr>
            <w:r>
              <w:t>M12 — Плащания по „Натура 2000“ и Рамковата директива за водите (член 30)</w:t>
            </w:r>
          </w:p>
          <w:p>
            <w:pPr>
              <w:numPr>
                <w:numId w:val="101"/>
              </w:numPr>
            </w:pPr>
            <w:r>
              <w:t>М13 — Плащания за райони, изправени пред природни или други специфични ограничения (член 31)</w:t>
            </w:r>
          </w:p>
          <w:p>
            <w:pPr>
              <w:numPr>
                <w:numId w:val="101"/>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М08 — Инвестиции в развитие на горските райони и подобряване на жизнеспособността на горите (членове 21 — 26)</w:t>
            </w:r>
          </w:p>
          <w:p>
            <w:pPr>
              <w:numPr>
                <w:numId w:val="102"/>
              </w:numPr>
            </w:pPr>
            <w:r>
              <w:t>M12 — Плащания по „Натура 2000“ и Рамковата директива за водите (член 30)</w:t>
            </w:r>
          </w:p>
          <w:p>
            <w:pPr>
              <w:numPr>
                <w:numId w:val="102"/>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M04 — Инвестиции в материални активи (член 17)</w:t>
            </w:r>
          </w:p>
          <w:p>
            <w:pPr>
              <w:numPr>
                <w:numId w:val="103"/>
              </w:numPr>
            </w:pPr>
            <w:r>
              <w:t>M10 — Агроекология и климат (член 28)</w:t>
            </w:r>
          </w:p>
          <w:p>
            <w:pPr>
              <w:numPr>
                <w:numId w:val="103"/>
              </w:numPr>
            </w:pPr>
            <w:r>
              <w:t>М11 — Биологично земеделие (член 29)</w:t>
            </w:r>
          </w:p>
          <w:p>
            <w:pPr>
              <w:numPr>
                <w:numId w:val="103"/>
              </w:numPr>
            </w:pPr>
            <w:r>
              <w:t>M12 — Плащания по „Натура 2000“ и Рамковата директива за водите (член 30)</w:t>
            </w:r>
          </w:p>
          <w:p>
            <w:pPr>
              <w:numPr>
                <w:numId w:val="103"/>
              </w:numPr>
            </w:pPr>
            <w:r>
              <w:t>М13 — Плащания за райони, изправени пред природни или други специфични ограничения (член 31)</w:t>
            </w:r>
          </w:p>
          <w:p>
            <w:pPr>
              <w:numPr>
                <w:numId w:val="103"/>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М08 — Инвестиции в развитие на горските райони и подобряване на жизнеспособността на горите (членове 21 — 26)</w:t>
            </w:r>
          </w:p>
          <w:p>
            <w:pPr>
              <w:numPr>
                <w:numId w:val="104"/>
              </w:numPr>
            </w:pPr>
            <w:r>
              <w:t>M12 — Плащания по „Натура 2000“ и Рамковата директива за водите (член 30)</w:t>
            </w:r>
          </w:p>
          <w:p>
            <w:pPr>
              <w:numPr>
                <w:numId w:val="104"/>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rPr>
                <w:b w:val="0"/>
              </w:rPr>
            </w:pPr>
            <w:r>
              <w:rPr>
                <w:b w:val="0"/>
              </w:rPr>
              <w:t>М01 — Трансфер на знания и действия за осведомяване (член 14)</w:t>
            </w:r>
          </w:p>
          <w:p>
            <w:pPr>
              <w:numPr>
                <w:numId w:val="10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5"/>
              </w:numPr>
              <w:rPr>
                <w:b w:val="0"/>
              </w:rPr>
            </w:pPr>
            <w:r>
              <w:rPr>
                <w:b w:val="0"/>
              </w:rPr>
              <w:t>M04 — Инвестиции в материални активи (член 17)</w:t>
            </w:r>
          </w:p>
          <w:p>
            <w:pPr>
              <w:numPr>
                <w:numId w:val="10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105 млн. евро публични разходи или 3,6%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част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M04 — Инвестиции в материални активи (член 17)</w:t>
            </w:r>
          </w:p>
          <w:p>
            <w:pPr>
              <w:numPr>
                <w:numId w:val="10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pPr>
            <w:r>
              <w:t>М01 — Трансфер на знания и действия за осведомяване (член 14)</w:t>
            </w:r>
          </w:p>
          <w:p>
            <w:pPr>
              <w:numPr>
                <w:numId w:val="107"/>
              </w:numPr>
            </w:pPr>
            <w:r>
              <w:t>М02 —  Консултантски услуги, услуги по управление на стопанство и услуги по заместване в стопанство (член 15)</w:t>
            </w:r>
          </w:p>
          <w:p>
            <w:pPr>
              <w:numPr>
                <w:numId w:val="107"/>
              </w:numPr>
            </w:pPr>
            <w:r>
              <w:t>M04 — Инвестиции в материални активи (член 17)</w:t>
            </w:r>
          </w:p>
          <w:p>
            <w:pPr>
              <w:numPr>
                <w:numId w:val="107"/>
              </w:numPr>
            </w:pPr>
            <w:r>
              <w:t>М07 — Основни услуги и обновяване на селата в селските райони (член 20)</w:t>
            </w:r>
          </w:p>
          <w:p>
            <w:pPr>
              <w:numPr>
                <w:numId w:val="10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115,2 млн.евро или 4%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pPr>
            <w:r>
              <w:t>М01 — Трансфер на знания и действия за осведомяване (член 14)</w:t>
            </w:r>
          </w:p>
          <w:p>
            <w:pPr>
              <w:numPr>
                <w:numId w:val="108"/>
              </w:numPr>
            </w:pPr>
            <w:r>
              <w:t>М02 —  Консултантски услуги, услуги по управление на стопанство и услуги по заместване в стопанство (член 15)</w:t>
            </w:r>
          </w:p>
          <w:p>
            <w:pPr>
              <w:numPr>
                <w:numId w:val="108"/>
              </w:numPr>
            </w:pPr>
            <w:r>
              <w:t>M04 — Инвестиции в материални активи (член 17)</w:t>
            </w:r>
          </w:p>
          <w:p>
            <w:pPr>
              <w:numPr>
                <w:numId w:val="108"/>
              </w:numPr>
            </w:pPr>
            <w:r>
              <w:t>M10 — Агроекология и климат (член 28)</w:t>
            </w:r>
          </w:p>
          <w:p>
            <w:pPr>
              <w:numPr>
                <w:numId w:val="108"/>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55,8 млн.евро или 1,9%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7,000 ха, като на тази мярка е отделен 14% от бюджета на ПО 5Г (8 млн.евро).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М01 — Трансфер на знания и действия за осведомяване (член 14)</w:t>
            </w:r>
          </w:p>
          <w:p>
            <w:pPr>
              <w:numPr>
                <w:numId w:val="109"/>
              </w:numPr>
            </w:pPr>
            <w:r>
              <w:t>М02 —  Консултантски услуги, услуги по управление на стопанство и услуги по заместване в стопанство (член 15)</w:t>
            </w:r>
          </w:p>
          <w:p>
            <w:pPr>
              <w:numPr>
                <w:numId w:val="109"/>
              </w:numPr>
            </w:pPr>
            <w:r>
              <w:t>М08 — Инвестиции в развитие на горските райони и подобряване на жизнеспособността на горите (членове 21 — 26)</w:t>
            </w:r>
          </w:p>
          <w:p>
            <w:pPr>
              <w:numPr>
                <w:numId w:val="10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31,2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0"/>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1"/>
              </w:numPr>
            </w:pPr>
            <w:r>
              <w:t>М07 — Основни услуги и обновяване на селата в селските райони (член 20)</w:t>
            </w:r>
          </w:p>
          <w:p>
            <w:pPr>
              <w:numPr>
                <w:numId w:val="111"/>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2"/>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Пряко адресирани</w:t>
            </w:r>
            <w:r>
              <w:rPr>
                <w:rStyle w:val="DefaultParagraphFont"/>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Интегрирани</w:t>
            </w:r>
            <w:r>
              <w:rPr>
                <w:rStyle w:val="DefaultParagraphFont"/>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Приоритет 5, към който са насочени 15%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Програмирани са мерки по всички приоритетни области на Приоритет 5, на които се пада 15%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Програмата ще </w:t>
            </w:r>
            <w:r>
              <w:rPr>
                <w:rStyle w:val="DefaultParagraphFont"/>
                <w:rFonts w:ascii="Times New Roman" w:eastAsia="Times New Roman" w:hAnsi="Times New Roman" w:cs="Times New Roman"/>
                <w:szCs w:val="24"/>
                <w:u w:val="single"/>
              </w:rPr>
              <w:t>интегрира</w:t>
            </w:r>
            <w:r>
              <w:rPr>
                <w:rStyle w:val="DefaultParagraphFont"/>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Повишаване на информираността</w:t>
            </w:r>
            <w:r>
              <w:rPr>
                <w:rStyle w:val="DefaultParagraphFont"/>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Стимулиране на разработването</w:t>
            </w:r>
            <w:r>
              <w:rPr>
                <w:rStyle w:val="DefaultParagraphFont"/>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Приоритизиране на проектите</w:t>
            </w:r>
            <w:r>
              <w:rPr>
                <w:rStyle w:val="DefaultParagraphFont"/>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Мониторинг и оценка</w:t>
            </w:r>
            <w:r>
              <w:rPr>
                <w:rStyle w:val="DefaultParagraphFont"/>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Style w:val="DefaultParagraphFont"/>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Style w:val="DefaultParagraphFont"/>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253 067 467,60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100 864 735,10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272 554 037,20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955 417 399,60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49,78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105 286 971,10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115 211 488,70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55 841 250,60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31 156 389,70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657 210 187,30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 НССЗ и БАБХ в т.ч.:</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планирани дейности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 НССЗ и БАБХ.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и храните.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и храните и съгласно чл. 3 и чл. 4 на Правилника за устройството и дейността на НССЗ, Министърът на земеделието и храните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НССЗ е единствената организация в структурата на МЗХ, специализирана в предоставянето на консултантски услуги на българските фермери, като консултациите обхващат широка проблематика. </w:t>
            </w:r>
            <w:r>
              <w:rPr>
                <w:rStyle w:val="DefaultParagraphFont"/>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Style w:val="DefaultParagraphFont"/>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 M12</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1C, 2A, 5E, 3B, 6C, 6A, 6B, 5B, 5D, 5C, 1A, 3A, 1B, 5A,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M16, M11, M09, M14, M04, M02, M19, M07, M12, M15, M13, M10, M06,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2A, 3A, 2B, 5B, 5C, 5D, 1A, 6B, 1C, 5E, 6C, 5A, 1B,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M15, M11, M02, M10, M16, M01, M09, M04, M08, M19, M14, M07, M12,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1C, 5A, 2B, 3A, 2A, 6B, 1B, 3B, 6A, 5C, 1A, 5D, 5E, 5B,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M19, M04, M07, M13, M01, M08, M16, M10, M11, M12, M02, M14, M06,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2A, 5B, 5C,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M04, M07, M19,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6C, 5A,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M02, M01, M19, M08, M06, M16, 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2A, 5B, 5C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M19, M16, M08, 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5E, 3B, 3A, 5C, 5B, 5A, 1C, 6C, 2B, 1A, 2A, 6B, 6A,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M14, M02, M16, M10, M04, M08, M12, M07, M01, M19, M06, M09,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3"/>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намаляване на риска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http://www.nspbzn.mvr.bg/Strategicheski_dokumenti/default.htm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4"/>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http://www.nspbzn.mvr.bg/Norm_uredba/drugi.htm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http://www.nspbzn.mvr.bg/Norm_uredba/naredba_bedstvia.htm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5"/>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http://www.strategy.bg/StrategicDocuments/View.aspx?lang=bg-BG&amp;Id=550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http://www.strategy.bg/StrategicDocuments/View.aspx?lang=bg-BG&amp;Id=664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http://www.strategy.bg/Links.aspx?lang=bg-BG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http://www.bsbd.org/UserFiles//File/Copy%20of%20BSBD_PFRA_v2.pdf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http://www.bdibr.org/details.php?p_id=243&amp;id=276;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на заседание на МС на 27.11.2013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http://www.mzh.government.bg/MZH/bg/ShortLinks/cross.compliance/Gorskisector.aspx.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http://www.farmer.bg/news_view.php?id=1905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http://www.strategy.bg/StrategicDocuments/View.aspx?lang=bg-BG&amp;Id=760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http://www.moew.government.bg/?show=html&amp;hid=180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Картографиране на свлачищата в страната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http://www.mzh.government.bg/MZH/bg/ShortLinks/cross_compliance.aspx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http://www.seea.government.bg/documents/Naredba%207.pdf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ел. енергията – чл. 120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 за управление на речните басейни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http://www3.moew.government.bg/?show=top&amp;cid=66&amp;lang=bg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http://www3.moew.government.bg/files/file/Water/Legislation/Zakoni/ZAKON_za_vodite.pdf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 в областта на водния сектор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22, чл. 23, чл. 27, чл. 29, чл. 52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http://www.strategy.bg/StrategicDocuments/View.aspx?lang=bg-BG&amp;Id=781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-Комисия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Съюза на юристите в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i/>
                <w:iCs/>
                <w:sz w:val="15"/>
                <w:szCs w:val="15"/>
              </w:rPr>
              <w:t>-</w:t>
            </w:r>
            <w:r>
              <w:rPr>
                <w:rStyle w:val="DefaultParagraphFont"/>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6"/>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6"/>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6"/>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6"/>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тематични изследвания и анализи;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7"/>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8"/>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8"/>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8"/>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8"/>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8"/>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http://www.government.bg/cgi-bin/e-cms/vis/vis.pl?s=001&amp;p=0211&amp;n=99&amp;g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РМС № 498/11.07.2014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прилагане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провеждане на конкурси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по чл. 13, ал. 3 от Закона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http://www.aop.bg/fckedit2/user/File/bg/Normativna%20baza/Naredba_konkursi.pdf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http://www.aop.bg/fckedit2/user/File/bg/Normativna%20baza/Naredba_27082013.pdf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 национален орган, който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които също осъществяват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http://www.minfin.bg/bg/page/10?q=%D0%94%D0%9D%D0%A4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http://rop3-app1.aop.bg:7778/portal/page?_pageid=93,408251&amp;_dad=portal&amp;_schema=PORTAL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Регистъра на обществените поръчки (РОП);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публикуваните публични покани;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друга информация.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http://rop3-app1.aop.bg:7778/portal/page?_pageid=93,168247&amp;_dad=portal&amp;_schema=PORTAL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По-важните от тях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9"/>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20"/>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(ПМС  26/2007, изм. ПМС 97/2007, ПМС 10/2009, ПМС 3/2010)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21"/>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Източници на специализирана информация:</w:t>
            </w:r>
          </w:p>
          <w:p>
            <w:pPr>
              <w:numPr>
                <w:ilvl w:val="0"/>
                <w:numId w:val="122"/>
              </w:numPr>
              <w:spacing w:before="15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 </w:t>
            </w:r>
          </w:p>
          <w:p>
            <w:pPr>
              <w:numPr>
                <w:ilvl w:val="0"/>
                <w:numId w:val="122"/>
              </w:numPr>
              <w:spacing w:before="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http://minimis.minfin.bg/ </w:t>
            </w:r>
          </w:p>
          <w:p>
            <w:pPr>
              <w:numPr>
                <w:ilvl w:val="0"/>
                <w:numId w:val="122"/>
              </w:numPr>
              <w:spacing w:before="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http://www.minfin.bg/en/page/12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3"/>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3"/>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http://www3.moew.government.bg/files/file/Industry/Legislation/Zakoni/ZOOS.pdf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http://www.moew.government.bg/?show=top&amp;cid=233&amp;lang=en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 е общ електронен адрес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http://www.moew.government.bg/?show=164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http://www.nsi.bg/img/uplf/StdInd2013.pdf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http://www.nsi.bg/img/uplf_e/StdInd2013_en.pdf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вж. Приложение 3, р-л 6.3 )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Специфични действия за ПРСР: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 на рисковете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Междинни стъпки:</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Проект на програма от мерки за всеки РБУ –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допълнителна информация Виж приложение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 Хидромелиорации: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https://www.mtitc.government.bg/page.php?category=466&amp;id=7725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371 932 202,70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92 983 050,68</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272 904 037,20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54 580 807,44</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983 098 022,80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196 619 604,56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430 648 778,00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35%</w:t>
            </w:r>
          </w:p>
        </w:tc>
        <w:tc>
          <w:tcPr>
            <w:tcW w:w="800" w:type="pct"/>
            <w:shd w:val="clear" w:color="auto" w:fill="FFFFFF"/>
            <w:noWrap w:val="0"/>
            <w:tcMar>
              <w:top w:w="20" w:type="dxa"/>
              <w:bottom w:w="20" w:type="dxa"/>
            </w:tcMar>
            <w:vAlign w:val="center"/>
          </w:tcPr>
          <w:p>
            <w:pPr>
              <w:jc w:val="right"/>
            </w:pPr>
            <w:r>
              <w:t>150 727 072,30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54 050,00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13 512,50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740,00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148,00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815 155 428,30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203 788 857,08</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371 932 202,70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92 983 050,68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272 904 037,20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54 580 807,44</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983 098 022,80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196 619 604,56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430 648 778,00</w:t>
      </w:r>
    </w:p>
    <w:p>
      <w:r>
        <w:t xml:space="preserve">Корекции за допълнителни плащания (б): </w:t>
      </w:r>
    </w:p>
    <w:p>
      <w:r>
        <w:t xml:space="preserve">Етапна цел 2018 г. % (в): </w:t>
      </w:r>
      <w:r>
        <w:t>35%</w:t>
      </w:r>
    </w:p>
    <w:p>
      <w:r>
        <w:t xml:space="preserve">Абсолютна стойност на етапната цел (а-б) * в: </w:t>
      </w:r>
      <w:r>
        <w:t>150 727 072,30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54 050,00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13 512,50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740,00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148,00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815 155 428,30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203 788 857,08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1 555,00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311,00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1 555,00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311,00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320 706 912,00</w:t>
            </w:r>
          </w:p>
        </w:tc>
        <w:tc>
          <w:tcPr>
            <w:tcW w:w="450" w:type="pct"/>
            <w:shd w:val="clear" w:color="auto" w:fill="FFFFFF"/>
            <w:noWrap w:val="0"/>
            <w:tcMar>
              <w:top w:w="20" w:type="dxa"/>
              <w:bottom w:w="20" w:type="dxa"/>
            </w:tcMar>
            <w:vAlign w:val="center"/>
          </w:tcPr>
          <w:p>
            <w:pPr>
              <w:jc w:val="right"/>
              <w:rPr>
                <w:b w:val="0"/>
              </w:rPr>
            </w:pPr>
            <w:r>
              <w:rPr>
                <w:b w:val="0"/>
              </w:rPr>
              <w:t>297 543 866,77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14 877 193,34</w:t>
            </w:r>
          </w:p>
        </w:tc>
        <w:tc>
          <w:tcPr>
            <w:tcW w:w="450" w:type="pct"/>
            <w:shd w:val="clear" w:color="auto" w:fill="FFFFFF"/>
            <w:noWrap w:val="0"/>
            <w:tcMar>
              <w:top w:w="20" w:type="dxa"/>
              <w:bottom w:w="20" w:type="dxa"/>
            </w:tcMar>
            <w:vAlign w:val="center"/>
          </w:tcPr>
          <w:p>
            <w:pPr>
              <w:jc w:val="right"/>
              <w:rPr>
                <w:b w:val="0"/>
              </w:rPr>
            </w:pPr>
            <w:r>
              <w:rPr>
                <w:b w:val="0"/>
              </w:rPr>
              <w:t>20 828 070,67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232 856 007,00</w:t>
            </w:r>
          </w:p>
        </w:tc>
        <w:tc>
          <w:tcPr>
            <w:tcW w:w="450" w:type="pct"/>
            <w:shd w:val="clear" w:color="auto" w:fill="FFFFFF"/>
            <w:noWrap w:val="0"/>
            <w:tcMar>
              <w:top w:w="20" w:type="dxa"/>
              <w:bottom w:w="20" w:type="dxa"/>
            </w:tcMar>
            <w:vAlign w:val="center"/>
          </w:tcPr>
          <w:p>
            <w:pPr>
              <w:jc w:val="right"/>
              <w:rPr>
                <w:b w:val="0"/>
              </w:rPr>
            </w:pPr>
            <w:r>
              <w:rPr>
                <w:b w:val="0"/>
              </w:rPr>
              <w:t>236 649 762,44</w:t>
            </w:r>
          </w:p>
        </w:tc>
        <w:tc>
          <w:tcPr>
            <w:tcW w:w="450" w:type="pct"/>
            <w:shd w:val="clear" w:color="auto" w:fill="FFFFFF"/>
            <w:noWrap w:val="0"/>
            <w:tcMar>
              <w:top w:w="20" w:type="dxa"/>
              <w:bottom w:w="20" w:type="dxa"/>
            </w:tcMar>
            <w:vAlign w:val="center"/>
          </w:tcPr>
          <w:p>
            <w:pPr>
              <w:jc w:val="right"/>
              <w:rPr>
                <w:b w:val="0"/>
              </w:rPr>
            </w:pPr>
            <w:r>
              <w:rPr>
                <w:b w:val="0"/>
              </w:rPr>
              <w:t>14 198 986,00</w:t>
            </w:r>
          </w:p>
        </w:tc>
        <w:tc>
          <w:tcPr>
            <w:tcW w:w="450" w:type="pct"/>
            <w:shd w:val="clear" w:color="auto" w:fill="FFFFFF"/>
            <w:noWrap w:val="0"/>
            <w:tcMar>
              <w:top w:w="20" w:type="dxa"/>
              <w:bottom w:w="20" w:type="dxa"/>
            </w:tcMar>
            <w:vAlign w:val="center"/>
          </w:tcPr>
          <w:p>
            <w:pPr>
              <w:jc w:val="right"/>
              <w:rPr>
                <w:b w:val="0"/>
              </w:rPr>
            </w:pPr>
            <w:r>
              <w:rPr>
                <w:b w:val="0"/>
              </w:rPr>
              <w:t>11 832 488,12</w:t>
            </w:r>
          </w:p>
        </w:tc>
        <w:tc>
          <w:tcPr>
            <w:tcW w:w="450" w:type="pct"/>
            <w:shd w:val="clear" w:color="auto" w:fill="FFFFFF"/>
            <w:noWrap w:val="0"/>
            <w:tcMar>
              <w:top w:w="20" w:type="dxa"/>
              <w:bottom w:w="20" w:type="dxa"/>
            </w:tcMar>
            <w:vAlign w:val="center"/>
          </w:tcPr>
          <w:p>
            <w:pPr>
              <w:jc w:val="right"/>
              <w:rPr>
                <w:b w:val="0"/>
              </w:rPr>
            </w:pPr>
            <w:r>
              <w:rPr>
                <w:b w:val="0"/>
              </w:rPr>
              <w:t>16 565 483,37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741 499 733,00</w:t>
            </w:r>
          </w:p>
        </w:tc>
        <w:tc>
          <w:tcPr>
            <w:tcW w:w="450" w:type="pct"/>
            <w:shd w:val="clear" w:color="auto" w:fill="FFFFFF"/>
            <w:noWrap w:val="0"/>
            <w:tcMar>
              <w:top w:w="20" w:type="dxa"/>
              <w:bottom w:w="20" w:type="dxa"/>
            </w:tcMar>
            <w:vAlign w:val="center"/>
          </w:tcPr>
          <w:p>
            <w:pPr>
              <w:jc w:val="right"/>
              <w:rPr>
                <w:b w:val="0"/>
              </w:rPr>
            </w:pPr>
            <w:r>
              <w:rPr>
                <w:b w:val="0"/>
              </w:rPr>
              <w:t>753 580 454,81</w:t>
            </w:r>
          </w:p>
        </w:tc>
        <w:tc>
          <w:tcPr>
            <w:tcW w:w="450" w:type="pct"/>
            <w:shd w:val="clear" w:color="auto" w:fill="FFFFFF"/>
            <w:noWrap w:val="0"/>
            <w:tcMar>
              <w:top w:w="20" w:type="dxa"/>
              <w:bottom w:w="20" w:type="dxa"/>
            </w:tcMar>
            <w:vAlign w:val="center"/>
          </w:tcPr>
          <w:p>
            <w:pPr>
              <w:jc w:val="right"/>
              <w:rPr>
                <w:b w:val="0"/>
              </w:rPr>
            </w:pPr>
            <w:r>
              <w:rPr>
                <w:b w:val="0"/>
              </w:rPr>
              <w:t>45 214 827,00</w:t>
            </w:r>
          </w:p>
        </w:tc>
        <w:tc>
          <w:tcPr>
            <w:tcW w:w="450" w:type="pct"/>
            <w:shd w:val="clear" w:color="auto" w:fill="FFFFFF"/>
            <w:noWrap w:val="0"/>
            <w:tcMar>
              <w:top w:w="20" w:type="dxa"/>
              <w:bottom w:w="20" w:type="dxa"/>
            </w:tcMar>
            <w:vAlign w:val="center"/>
          </w:tcPr>
          <w:p>
            <w:pPr>
              <w:jc w:val="right"/>
              <w:rPr>
                <w:b w:val="0"/>
              </w:rPr>
            </w:pPr>
            <w:r>
              <w:rPr>
                <w:b w:val="0"/>
              </w:rPr>
              <w:t>37 679 022,74</w:t>
            </w:r>
          </w:p>
        </w:tc>
        <w:tc>
          <w:tcPr>
            <w:tcW w:w="450" w:type="pct"/>
            <w:shd w:val="clear" w:color="auto" w:fill="FFFFFF"/>
            <w:noWrap w:val="0"/>
            <w:tcMar>
              <w:top w:w="20" w:type="dxa"/>
              <w:bottom w:w="20" w:type="dxa"/>
            </w:tcMar>
            <w:vAlign w:val="center"/>
          </w:tcPr>
          <w:p>
            <w:pPr>
              <w:jc w:val="right"/>
              <w:rPr>
                <w:b w:val="0"/>
              </w:rPr>
            </w:pPr>
            <w:r>
              <w:rPr>
                <w:b w:val="0"/>
              </w:rPr>
              <w:t>52 750 631,84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334 704 712,00</w:t>
            </w:r>
          </w:p>
        </w:tc>
        <w:tc>
          <w:tcPr>
            <w:tcW w:w="450" w:type="pct"/>
            <w:shd w:val="clear" w:color="auto" w:fill="FFFFFF"/>
            <w:noWrap w:val="0"/>
            <w:tcMar>
              <w:top w:w="20" w:type="dxa"/>
              <w:bottom w:w="20" w:type="dxa"/>
            </w:tcMar>
            <w:vAlign w:val="center"/>
          </w:tcPr>
          <w:p>
            <w:pPr>
              <w:jc w:val="right"/>
              <w:rPr>
                <w:b w:val="0"/>
              </w:rPr>
            </w:pPr>
            <w:r>
              <w:rPr>
                <w:b w:val="0"/>
              </w:rPr>
              <w:t>340 157 815,13</w:t>
            </w:r>
          </w:p>
        </w:tc>
        <w:tc>
          <w:tcPr>
            <w:tcW w:w="450" w:type="pct"/>
            <w:shd w:val="clear" w:color="auto" w:fill="FFFFFF"/>
            <w:noWrap w:val="0"/>
            <w:tcMar>
              <w:top w:w="20" w:type="dxa"/>
              <w:bottom w:w="20" w:type="dxa"/>
            </w:tcMar>
            <w:vAlign w:val="center"/>
          </w:tcPr>
          <w:p>
            <w:pPr>
              <w:jc w:val="right"/>
              <w:rPr>
                <w:b w:val="0"/>
              </w:rPr>
            </w:pPr>
            <w:r>
              <w:rPr>
                <w:b w:val="0"/>
              </w:rPr>
              <w:t>20 409 469,00</w:t>
            </w:r>
          </w:p>
        </w:tc>
        <w:tc>
          <w:tcPr>
            <w:tcW w:w="450" w:type="pct"/>
            <w:shd w:val="clear" w:color="auto" w:fill="FFFFFF"/>
            <w:noWrap w:val="0"/>
            <w:tcMar>
              <w:top w:w="20" w:type="dxa"/>
              <w:bottom w:w="20" w:type="dxa"/>
            </w:tcMar>
            <w:vAlign w:val="center"/>
          </w:tcPr>
          <w:p>
            <w:pPr>
              <w:jc w:val="right"/>
              <w:rPr>
                <w:b w:val="0"/>
              </w:rPr>
            </w:pPr>
            <w:r>
              <w:rPr>
                <w:b w:val="0"/>
              </w:rPr>
              <w:t>17 007 890,76</w:t>
            </w:r>
          </w:p>
        </w:tc>
        <w:tc>
          <w:tcPr>
            <w:tcW w:w="450" w:type="pct"/>
            <w:shd w:val="clear" w:color="auto" w:fill="FFFFFF"/>
            <w:noWrap w:val="0"/>
            <w:tcMar>
              <w:top w:w="20" w:type="dxa"/>
              <w:bottom w:w="20" w:type="dxa"/>
            </w:tcMar>
            <w:vAlign w:val="center"/>
          </w:tcPr>
          <w:p>
            <w:pPr>
              <w:jc w:val="right"/>
              <w:rPr>
                <w:b w:val="0"/>
              </w:rPr>
            </w:pPr>
            <w:r>
              <w:rPr>
                <w:b w:val="0"/>
              </w:rPr>
              <w:t>23 811 047,06</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140 327 038,00</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Спазване на правилата за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свързани с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4 „Инвестиции във физически активи“;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инвестиционна подкрепа</w:t>
            </w:r>
          </w:p>
          <w:p>
            <w:pPr>
              <w:numPr>
                <w:ilvl w:val="0"/>
                <w:numId w:val="1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01.01.2014</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 разходи ще се прилагат по мярка 1</w:t>
            </w:r>
            <w:r>
              <w:rPr>
                <w:rStyle w:val="DefaultParagraphFont"/>
                <w:rFonts w:ascii="Times New Roman" w:eastAsia="Times New Roman" w:hAnsi="Times New Roman" w:cs="Times New Roman"/>
                <w:i/>
                <w:iCs/>
                <w:szCs w:val="24"/>
              </w:rPr>
              <w:t>„Трансфер на знания и действия по осведомяване“</w:t>
            </w:r>
            <w:r>
              <w:rPr>
                <w:rStyle w:val="DefaultParagraphFont"/>
                <w:rFonts w:ascii="Times New Roman" w:eastAsia="Times New Roman" w:hAnsi="Times New Roman" w:cs="Times New Roman"/>
                <w:szCs w:val="24"/>
              </w:rPr>
              <w:t>, по мярка 2 „</w:t>
            </w:r>
            <w:r>
              <w:rPr>
                <w:rStyle w:val="DefaultParagraphFont"/>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Style w:val="DefaultParagraphFont"/>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Териториално покритие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Инвестиции в инфраструктура                                                                                      2016-2020                                                                                                          5A, 5B, 5C, 5D</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подобрение и разширяване.                                                                                               2016-2020                                                                                                                    6C</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12.2. Компенсаторни плащания за гори в Натура 2000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засегнати от специфични ограничения.                                                                           2017-2020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М17 — Управление на риска                                                                                                2017-2020                                                                                                                     3B</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Професионално обучение и придобиване на умения;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Style w:val="DefaultParagraphFont"/>
                <w:rFonts w:ascii="Times New Roman" w:eastAsia="Times New Roman" w:hAnsi="Times New Roman" w:cs="Times New Roman"/>
                <w:b/>
                <w:bCs/>
                <w:i/>
                <w:iCs/>
                <w:szCs w:val="24"/>
              </w:rPr>
              <w:t xml:space="preserve">.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приоритетни области 1А, 1Б и1В.</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Style w:val="DefaultParagraphFont"/>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Style w:val="DefaultParagraphFont"/>
                <w:rFonts w:ascii="Times New Roman" w:eastAsia="Times New Roman" w:hAnsi="Times New Roman" w:cs="Times New Roman"/>
                <w:b/>
                <w:bCs/>
                <w:szCs w:val="24"/>
              </w:rPr>
              <w:t xml:space="preserve">подмярка 1.2. </w:t>
            </w:r>
            <w:r>
              <w:rPr>
                <w:rStyle w:val="DefaultParagraphFont"/>
                <w:rFonts w:ascii="Times New Roman" w:eastAsia="Times New Roman" w:hAnsi="Times New Roman" w:cs="Times New Roman"/>
                <w:szCs w:val="24"/>
              </w:rPr>
              <w:t xml:space="preserve">с демонстрационни дейности </w:t>
            </w:r>
            <w:r>
              <w:rPr>
                <w:rStyle w:val="DefaultParagraphFont"/>
                <w:rFonts w:ascii="Times New Roman" w:eastAsia="Times New Roman" w:hAnsi="Times New Roman" w:cs="Times New Roman"/>
                <w:i/>
                <w:iCs/>
                <w:szCs w:val="24"/>
              </w:rPr>
              <w:t>с приоритет на темите за въвеждане на иновации в производствените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2Б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3А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3Б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основни рискове в земеделието, методите за превенция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и за управление на риска;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4А</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обмяна на опит при биологичното земеделие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представяне 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4В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фактори на почвената ерозия и методи за предотвратяване;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5Б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5Г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5Д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Style w:val="DefaultParagraphFont"/>
                <w:rFonts w:ascii="Times New Roman" w:eastAsia="Times New Roman" w:hAnsi="Times New Roman" w:cs="Times New Roman"/>
                <w:b/>
                <w:bCs/>
                <w:szCs w:val="24"/>
              </w:rPr>
              <w:t>подмярка 1.2. и подмярка 1.3</w:t>
            </w:r>
            <w:r>
              <w:rPr>
                <w:rStyle w:val="DefaultParagraphFont"/>
                <w:rFonts w:ascii="Times New Roman" w:eastAsia="Times New Roman" w:hAnsi="Times New Roman" w:cs="Times New Roman"/>
                <w:szCs w:val="24"/>
              </w:rPr>
              <w:t xml:space="preserve"> с демонстрационни дейности или обмяна на опит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Целта на мярката </w:t>
            </w:r>
            <w:r>
              <w:rPr>
                <w:rStyle w:val="DefaultParagraphFont"/>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В курсовете по 2А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6"/>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Курсовете за обучение </w:t>
            </w:r>
            <w:r>
              <w:rPr>
                <w:rStyle w:val="DefaultParagraphFont"/>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Семинарите </w:t>
            </w:r>
            <w:r>
              <w:rPr>
                <w:rStyle w:val="DefaultParagraphFont"/>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се прилага система на ваучери. Ваучерите ще бъдат прилагани за всяка допустима дейност по подмярка 1.1.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150 часа - 1 987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100 часа - 1 385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30 часа - 583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8 часа -  280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18 часа - 386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имат валидно разрешително от Министъра на земеделието и храните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1.1. са изчислени по методика, при която е  допуснато, че ще има пет вида курсове и информационни дейности (с продължителност 8 учебни часа, 18 учебни часа, 30 учебни часа, 100 учебни часа и 150 учебни часа - със събиране на участниците в обучението през предходния ден) и е определен стандартен разход за един участник  в съответния вид обучение. В методиката са приложени следните конкретни стъпки за изчисляване на разходите: определяне по видове обучения на средния брой обучаеми, средния брой учебни часове, средния брой нощувки и пансиони на един обучаем/лектор, средно разстояние очаквано за изминаване от един обучаем/лектор, средния брой на лекторите и членовете на екипа за организиране на съответното обучение и средни км за транспортни услуги (организиран превоз) до базите за практика; описание на дейностите по обучението, вкл. подготвителните дейности, дейностите по провеждане на обучението и дейностите по приключване и отчитане на обучението,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8"/>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Демонстрационните дейности </w:t>
            </w:r>
            <w:r>
              <w:rPr>
                <w:rStyle w:val="DefaultParagraphFont"/>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0"/>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Style w:val="DefaultParagraphFont"/>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системата на ваучери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Периодът на валидност на ваучерите е една година.</w:t>
            </w:r>
          </w:p>
          <w:p>
            <w:pPr>
              <w:numPr>
                <w:ilvl w:val="0"/>
                <w:numId w:val="1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Ваучерите са за всеки вид обучение както следва: за курс с продължителност 30 часа, за курс с продължителност 150 часа, за специализиран курс с продължителност 100 часа, за семинар с продължителност 8 часа, за семинар с продължителност 18 часа;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 като средствата се осигуряват по техническата помощ на програмата. Проверката за допустимост на обучаемите и предоставянето на ваучери се извършва от Областните дирекции „Земеделие“ и общинските служби земеделие към МЗХ.</w:t>
            </w:r>
          </w:p>
          <w:p>
            <w:pPr>
              <w:numPr>
                <w:ilvl w:val="0"/>
                <w:numId w:val="1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Специфичните условия за възстановяването на разходите на обучаващите организации са следните: На базата на планиран брой обучаеми по видове дейности и съответните стойности на ваучерите по тези дейности, всяка обучаващата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обучаващата организация представя заявка за плащане, като прилага като разходооправдателни документи получените ваучери от реално обучените участници. Допустими са междинни плащания след приключване на всяка от одобрените дейности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Помощ за осигуряване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Създаване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Подпомагане за обучение на консултанти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участие в мярка 9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горните три елемента пакета 6 може да включа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едно посещение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А2А - Консултантски пакет по приоритетна област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А2Б - Консултантски пакет по приоритетна област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А3А - Консултантски пакет по 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А3Б - Консултантски пакет по приоритетна област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А4А - Консултантски пакет по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А4Б - Консултантски пакет по приоритетна област 4Б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А4В - Консултантски пакет по приоритетна област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А5А - Консултантски пакет по приоритетна област 5А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А5Г - Консултантски пакет по приоритетна област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е)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се предвиди процедура на докладване и периодично представяне на доказателства.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Интензитет и размер на помощта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4"/>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ТП1 - Пакет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ТП1 - Пакет 1 - 453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2- 296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3- 120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4- 425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А -  438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Б -  550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В -  494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Б заедно -  662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В заедно -  623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Б и В заедно  -  916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Б и В заедно -  707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6- 278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6"/>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и храните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 бенефициент е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обхващат минимум две съседни общини;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Общината, в която са разположени да е  извън  областния град</w:t>
            </w:r>
            <w:r>
              <w:rPr>
                <w:rStyle w:val="DefaultParagraphFont"/>
                <w:rFonts w:ascii="Times New Roman" w:eastAsia="Times New Roman" w:hAnsi="Times New Roman" w:cs="Times New Roman"/>
                <w:i/>
                <w:iCs/>
                <w:szCs w:val="24"/>
              </w:rPr>
              <w:t>;</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население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на тези критерии в наредбата за прилагане на мярката ще бъде определено местоположението и териториалния обхват на офисите.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1-ва година -100%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 година - 95%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3-та година - 90%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4-та година - 85%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5-та година - 80%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7"/>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Подмярката допринася към следните приоритетни области: </w:t>
            </w:r>
            <w:r>
              <w:rPr>
                <w:rStyle w:val="DefaultParagraphFont"/>
                <w:rFonts w:ascii="Times New Roman" w:eastAsia="Times New Roman" w:hAnsi="Times New Roman" w:cs="Times New Roman"/>
                <w:b/>
                <w:bCs/>
                <w:szCs w:val="24"/>
              </w:rPr>
              <w:t>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Style w:val="DefaultParagraphFont"/>
                <w:rFonts w:ascii="Times New Roman" w:eastAsia="Times New Roman" w:hAnsi="Times New Roman" w:cs="Times New Roman"/>
                <w:b/>
                <w:bCs/>
                <w:szCs w:val="24"/>
              </w:rPr>
              <w:t>:</w:t>
            </w:r>
          </w:p>
          <w:p>
            <w:pPr>
              <w:numPr>
                <w:ilvl w:val="0"/>
                <w:numId w:val="1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Специфични условия за подмярка 2.1.2 и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ще гарантира адаптирането на земеделското производство към промените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Области на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1"/>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Style w:val="DefaultParagraphFont"/>
                <w:rFonts w:ascii="Times New Roman" w:eastAsia="Times New Roman" w:hAnsi="Times New Roman" w:cs="Times New Roman"/>
                <w:szCs w:val="24"/>
                <w:u w:val="single"/>
              </w:rPr>
              <w:t xml:space="preserve"> съгласно чл. 46, § 4 от Регламент /ЕС/ 1305/2014</w:t>
            </w:r>
            <w:r>
              <w:rPr>
                <w:rStyle w:val="DefaultParagraphFont"/>
                <w:rFonts w:ascii="Times New Roman" w:eastAsia="Times New Roman" w:hAnsi="Times New Roman" w:cs="Times New Roman"/>
                <w:szCs w:val="24"/>
                <w:u w:val="single"/>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свързани с нетно увеличение на напояваната площ трябва да са изпълнени следните условия</w:t>
            </w:r>
            <w:r>
              <w:rPr>
                <w:rStyle w:val="DefaultParagraphFont"/>
                <w:rFonts w:ascii="Times New Roman" w:eastAsia="Times New Roman" w:hAnsi="Times New Roman" w:cs="Times New Roman"/>
                <w:szCs w:val="24"/>
                <w:u w:val="single"/>
              </w:rPr>
              <w:t xml:space="preserve"> съгласно чл. 46, § 5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Инвестициите в нови инсталации  за напояван</w:t>
            </w:r>
            <w:r>
              <w:rPr>
                <w:rStyle w:val="DefaultParagraphFont"/>
                <w:rFonts w:ascii="Times New Roman" w:eastAsia="Times New Roman" w:hAnsi="Times New Roman" w:cs="Times New Roman"/>
                <w:szCs w:val="24"/>
                <w:u w:val="single"/>
              </w:rPr>
              <w:t>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Площи, които не се напояват, но към 01.01.2007 г. в тях е действала напоителна инсталация се считат за напоявани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numPr>
                <w:ilvl w:val="0"/>
                <w:numId w:val="14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4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numPr>
                <w:ilvl w:val="0"/>
                <w:numId w:val="14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14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33  - 10 %;</w:t>
            </w:r>
          </w:p>
          <w:p>
            <w:pPr>
              <w:numPr>
                <w:ilvl w:val="0"/>
                <w:numId w:val="1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Бенефициенти: </w:t>
            </w:r>
          </w:p>
          <w:p>
            <w:pPr>
              <w:numPr>
                <w:ilvl w:val="0"/>
                <w:numId w:val="1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15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2.Месо и месни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3.Плодове и зеленчуци, включително гъби,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4.Пчелен мед,</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5.Зърнени, мелничарски  и нишестени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6.Растителни и животински масла и мазнини,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8.Готови храни за селскостопански животни,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9.Гроздова мъст, вино и оцет,</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4 000 000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5 000 000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7"/>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Закупуване на съоръжения, оборудване за преработка на пчелен мед и пчелни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финансовата помощ се увеличава с 10 процентни пункта, </w:t>
            </w:r>
            <w:r>
              <w:rPr>
                <w:rStyle w:val="DefaultParagraphFont"/>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6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2"/>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подобрителни мероприятия в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Контрол на почвената ерозия: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Традиционни практики за сезонна паша: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Изграждане, придобиване и подобряване на недвижимо имущество, </w:t>
            </w:r>
            <w:r>
              <w:rPr>
                <w:rStyle w:val="DefaultParagraphFont"/>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4"/>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влажни зони;</w:t>
            </w:r>
          </w:p>
          <w:p>
            <w:pPr>
              <w:numPr>
                <w:ilvl w:val="0"/>
                <w:numId w:val="1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разходи по тази подмярка са: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места за водопой на добитъка;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Поставяне на обозначителни табели;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свързани с преодоляване на рисковите области ще бъдат насочени към:</w:t>
            </w:r>
          </w:p>
          <w:p>
            <w:pPr>
              <w:numPr>
                <w:ilvl w:val="0"/>
                <w:numId w:val="1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Ясно и точно дефиниране в приложимото законодателство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информираност, публичност, съвети и обучения на потенциални кандидати и бенефициентите, с цел гарантиране повишаването на компетенциите им и изпълнението на техните задължения и ангажименти.</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по отношение извършването на проверки в областта на обществените поръчки чрез обучения, семинари, обмяна на опит и др.</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Усъвършенстване на съществуващите системи за контрол и разработването на нови такива на база натрупания опит по отношение на спецификата на различните видове инвестиционна подкрепа. Системите за контрол и оценка ще гарантират, че съответните избрани операции отговарят на критериите и изискванията заложени в Програмата.</w:t>
            </w:r>
          </w:p>
          <w:p>
            <w:pPr>
              <w:numPr>
                <w:ilvl w:val="0"/>
                <w:numId w:val="1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балансирано разпределение на средствата ще бъде осигурено целево насочване на финансовия ресурс към чувствителни сектори определени в Програмата.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подмерки 4.1, 4.2 и 4.4:</w:t>
            </w:r>
          </w:p>
          <w:p>
            <w:pPr>
              <w:numPr>
                <w:ilvl w:val="0"/>
                <w:numId w:val="1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Административно и финансово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Прекратяване или преместване на производствена дейност;</w:t>
            </w:r>
          </w:p>
          <w:p>
            <w:pPr>
              <w:numPr>
                <w:ilvl w:val="0"/>
                <w:numId w:val="1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Процент съфинансиране: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pStyle w:val="BodyText"/>
              <w:jc w:val="both"/>
              <w:rPr>
                <w:b w:val="0"/>
              </w:rPr>
            </w:pPr>
          </w:p>
        </w:tc>
      </w:tr>
    </w:tbl>
    <w:p>
      <w:pPr>
        <w:pStyle w:val="Heading3"/>
        <w:jc w:val="left"/>
        <w:rPr>
          <w:b w:val="0"/>
        </w:rPr>
      </w:pPr>
      <w:r>
        <w:rPr>
          <w:b w:val="0"/>
        </w:rPr>
        <w:br w:type="page"/>
      </w:r>
      <w:bookmarkStart w:id="121" w:name="_Toc256000121"/>
      <w:r>
        <w:rPr>
          <w:b w:val="0"/>
        </w:rPr>
        <w:t>M06 — Развитие на стопанства и предприятия (член 19)</w:t>
      </w:r>
      <w:bookmarkEnd w:id="12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структура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Принос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към</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междусекторните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цели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приоритетни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области</w:t>
            </w:r>
            <w:r>
              <w:rPr>
                <w:rStyle w:val="DefaultParagraphFont"/>
                <w:rFonts w:ascii="Times New Roman" w:eastAsia="Times New Roman" w:hAnsi="Times New Roman" w:cs="Times New Roman"/>
                <w:b/>
                <w:bCs/>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3</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5</w:t>
            </w: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6А</w:t>
            </w:r>
            <w:r>
              <w:rPr>
                <w:rStyle w:val="DefaultParagraphFont"/>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Цели на мярката:</w:t>
            </w:r>
          </w:p>
          <w:p>
            <w:pPr>
              <w:numPr>
                <w:ilvl w:val="0"/>
                <w:numId w:val="1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сезонните колебания в заетостта;</w:t>
            </w:r>
          </w:p>
          <w:p>
            <w:pPr>
              <w:numPr>
                <w:ilvl w:val="0"/>
                <w:numId w:val="1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3"/>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съответните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стопанството е период, в който се отчитат следните събития: началото на създаването, период на кандидатстване за подпомагане по подмярката и край на създаването на стопанството. Събитията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начало на създаване на стопанство се има предвид едно от следните събития, което е настъпило първо:</w:t>
            </w:r>
          </w:p>
          <w:p>
            <w:pPr>
              <w:numPr>
                <w:ilvl w:val="0"/>
                <w:numId w:val="1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могат да заявят подпомагане не по-късно от 18 месеца, считано от датата, на която е стартирало създаването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1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1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7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Контрол се извършва чрез посещения 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Внимание върху специфични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като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numPr>
                <w:ilvl w:val="0"/>
                <w:numId w:val="1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 ;</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8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8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инвестициите:</w:t>
            </w:r>
          </w:p>
          <w:p>
            <w:pPr>
              <w:numPr>
                <w:ilvl w:val="0"/>
                <w:numId w:val="1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w:t>
            </w:r>
            <w:r>
              <w:rPr>
                <w:rStyle w:val="DefaultParagraphFont"/>
                <w:rFonts w:ascii="Times New Roman" w:eastAsia="Times New Roman" w:hAnsi="Times New Roman" w:cs="Times New Roman"/>
                <w:szCs w:val="24"/>
              </w:rPr>
              <w:t>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4"/>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Подпомаганата дейност да се извършва в селски район;</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не оказва отрицателно влияние върху околната среда;</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8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занаяти, социални и здравни услуги;</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регистрирани като тютюнопроизводители;</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заетост.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Изискване на документи в нормативната уредба, даващи възможност за проверка и определяне на съответствието със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numPr>
                <w:ilvl w:val="0"/>
                <w:numId w:val="18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Първоначално икономическо състояние на кандидата;</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 на пазара, въздействие върху конкурентите;</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Етапи и цели за развитие на новите дейности на кандидата;</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Прогноза на нетните парични потоци;</w:t>
            </w:r>
          </w:p>
          <w:p>
            <w:pPr>
              <w:numPr>
                <w:ilvl w:val="0"/>
                <w:numId w:val="1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0"/>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бъде даден на проекти на земеделски стопани, които:</w:t>
            </w:r>
          </w:p>
          <w:p>
            <w:pPr>
              <w:numPr>
                <w:ilvl w:val="0"/>
                <w:numId w:val="1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1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Style w:val="DefaultParagraphFont"/>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Style w:val="DefaultParagraphFont"/>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1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9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които следва да бъдат постигнати като минимум са:</w:t>
            </w:r>
          </w:p>
          <w:p>
            <w:pPr>
              <w:numPr>
                <w:ilvl w:val="0"/>
                <w:numId w:val="19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9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1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Производствена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1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1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осъществява в селски район;</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0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0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иновации;</w:t>
            </w:r>
          </w:p>
          <w:p>
            <w:pPr>
              <w:numPr>
                <w:ilvl w:val="0"/>
                <w:numId w:val="2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тютюнопроизводители;</w:t>
            </w:r>
          </w:p>
          <w:p>
            <w:pPr>
              <w:numPr>
                <w:ilvl w:val="0"/>
                <w:numId w:val="2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производствени дейности;</w:t>
            </w:r>
          </w:p>
          <w:p>
            <w:pPr>
              <w:numPr>
                <w:ilvl w:val="0"/>
                <w:numId w:val="2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не може да надвишава 75%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 стойност на допустимите разходи – 10 000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Прогноза на нетните парични потоци;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5"/>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0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 на селски туризъм</w:t>
            </w:r>
            <w:r>
              <w:rPr>
                <w:rStyle w:val="DefaultParagraphFont"/>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Style w:val="DefaultParagraphFont"/>
                <w:rFonts w:ascii="Times New Roman" w:eastAsia="Times New Roman" w:hAnsi="Times New Roman" w:cs="Times New Roman"/>
                <w:i/>
                <w:iCs/>
                <w:szCs w:val="24"/>
              </w:rPr>
              <w:t>;</w:t>
            </w:r>
          </w:p>
          <w:p>
            <w:pPr>
              <w:numPr>
                <w:ilvl w:val="0"/>
                <w:numId w:val="2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Местно занаятчийство </w:t>
            </w:r>
            <w:r>
              <w:rPr>
                <w:rStyle w:val="DefaultParagraphFont"/>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Style w:val="DefaultParagraphFont"/>
                <w:rFonts w:ascii="Times New Roman" w:eastAsia="Times New Roman" w:hAnsi="Times New Roman" w:cs="Times New Roman"/>
                <w:i/>
                <w:iCs/>
                <w:szCs w:val="24"/>
              </w:rPr>
              <w:t>;</w:t>
            </w:r>
          </w:p>
          <w:p>
            <w:pPr>
              <w:numPr>
                <w:ilvl w:val="0"/>
                <w:numId w:val="2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Style w:val="DefaultParagraphFont"/>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суровини от етеричномаслени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не се прилагат за отпадъчни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процеса на избор ще се дава приоритет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представени от жени и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постоянна заетост;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0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Включване в нормативната уредба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Ясно дефиниране в нормативната уредба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Рисковете са описани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Дефиниция за малко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w:t>
            </w:r>
            <w:r>
              <w:rPr>
                <w:rStyle w:val="DefaultParagraphFont"/>
                <w:rFonts w:ascii="Times New Roman" w:eastAsia="Times New Roman" w:hAnsi="Times New Roman" w:cs="Times New Roman"/>
                <w:i/>
                <w:iCs/>
                <w:szCs w:val="24"/>
              </w:rPr>
              <w:t>селски район</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1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1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1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2" w:name="_Toc256000122"/>
      <w:r>
        <w:rPr>
          <w:b w:val="0"/>
        </w:rPr>
        <w:t>М07 — Основни услуги и обновяване на селата в селските райони (член 20)</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w:t>
            </w:r>
            <w:r>
              <w:rPr>
                <w:rStyle w:val="DefaultParagraphFont"/>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14"/>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и/или ремонт на общински сгради, в които се предоставят обществени услуги, с цел подобряване на тяхната енергийна ефективност;</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Читалища за дейности свързани с културния живот;</w:t>
            </w:r>
          </w:p>
          <w:p>
            <w:pPr>
              <w:numPr>
                <w:ilvl w:val="0"/>
                <w:numId w:val="2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Style w:val="DefaultParagraphFont"/>
                <w:rFonts w:ascii="Times New Roman" w:eastAsia="Times New Roman" w:hAnsi="Times New Roman" w:cs="Times New Roman"/>
                <w:szCs w:val="24"/>
                <w:u w:val="single"/>
              </w:rPr>
              <w:t>по-висок</w:t>
            </w:r>
            <w:r>
              <w:rPr>
                <w:rStyle w:val="DefaultParagraphFont"/>
                <w:rFonts w:ascii="Times New Roman" w:eastAsia="Times New Roman" w:hAnsi="Times New Roman" w:cs="Times New Roman"/>
                <w:szCs w:val="24"/>
              </w:rPr>
              <w:t xml:space="preserve"> клас републикански пътища;</w:t>
            </w:r>
          </w:p>
          <w:p>
            <w:pPr>
              <w:numPr>
                <w:ilvl w:val="0"/>
                <w:numId w:val="2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numPr>
                <w:ilvl w:val="0"/>
                <w:numId w:val="2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2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2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8"/>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3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инфраструктура в белите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свързаност с общинския център;</w:t>
            </w:r>
          </w:p>
          <w:p>
            <w:pPr>
              <w:numPr>
                <w:ilvl w:val="0"/>
                <w:numId w:val="2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Насоките на ЕК за Анализ на разходите и ползите от инвестиционните проекти за кохезионната политика за 2014-2020 и Регламент за изпълнение (ЕС) 2015/207 на Комисията от 20 януари 2015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2"/>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w:t>
            </w:r>
          </w:p>
          <w:p>
            <w:pPr>
              <w:numPr>
                <w:ilvl w:val="0"/>
                <w:numId w:val="23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3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3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на територията на Северозападен район;</w:t>
            </w:r>
          </w:p>
          <w:p>
            <w:pPr>
              <w:numPr>
                <w:ilvl w:val="0"/>
                <w:numId w:val="23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9"/>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4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допустимите дейности;</w:t>
            </w:r>
          </w:p>
          <w:p>
            <w:pPr>
              <w:numPr>
                <w:ilvl w:val="0"/>
                <w:numId w:val="2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Ранното предоставяне на авансови плащания;</w:t>
            </w:r>
          </w:p>
          <w:p>
            <w:pPr>
              <w:numPr>
                <w:ilvl w:val="0"/>
                <w:numId w:val="2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4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М08 — Инвестиции в развитие на горските райони и подобряване на жизнеспособността на горите (членове 21 — 26)</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6"/>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4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Почвоподготовка;</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залесителен материал;</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Транспорт и временно съхранение на залесителния материал;</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труд при залесяване;</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залесената територия (където това е необходимо);</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(презасяване или презасаждане);</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49"/>
              </w:numPr>
              <w:spacing w:before="0" w:after="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49"/>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5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5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5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залесяване трябва да бъде както следва:</w:t>
            </w:r>
          </w:p>
          <w:p>
            <w:pPr>
              <w:numPr>
                <w:ilvl w:val="0"/>
                <w:numId w:val="25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5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 се допуска подпомагане:</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75%.</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разпокъсаността и малкият размер на имотите;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и храните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за спецификата на работата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културите се прилага при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3" name=""/>
                  <wp:cNvGraphicFramePr/>
                  <a:graphic xmlns:a="http://schemas.openxmlformats.org/drawingml/2006/main">
                    <a:graphicData uri="http://schemas.openxmlformats.org/drawingml/2006/picture">
                      <pic:pic xmlns:pic="http://schemas.openxmlformats.org/drawingml/2006/picture">
                        <pic:nvPicPr>
                          <pic:cNvPr id="771793301" name=""/>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Методите за залесяване трябва да включват: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нелесопригодни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8"/>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при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министерство на вътрешните работи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Лесозащитни станции;</w:t>
            </w:r>
          </w:p>
          <w:p>
            <w:pPr>
              <w:numPr>
                <w:ilvl w:val="0"/>
                <w:numId w:val="2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6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водоизточници за борба с пожарите;</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 подобряване на горски пътища;</w:t>
            </w:r>
          </w:p>
          <w:p>
            <w:pPr>
              <w:numPr>
                <w:ilvl w:val="0"/>
                <w:numId w:val="2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6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6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6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6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6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наредба, не може да надхвърля левовата равностойност на  1 500 000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4" name=""/>
                  <wp:cNvGraphicFramePr/>
                  <a:graphic xmlns:a="http://schemas.openxmlformats.org/drawingml/2006/main">
                    <a:graphicData uri="http://schemas.openxmlformats.org/drawingml/2006/picture">
                      <pic:pic xmlns:pic="http://schemas.openxmlformats.org/drawingml/2006/picture">
                        <pic:nvPicPr>
                          <pic:cNvPr id="707132779" name=""/>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5" name=""/>
                  <wp:cNvGraphicFramePr/>
                  <a:graphic xmlns:a="http://schemas.openxmlformats.org/drawingml/2006/main">
                    <a:graphicData uri="http://schemas.openxmlformats.org/drawingml/2006/picture">
                      <pic:pic xmlns:pic="http://schemas.openxmlformats.org/drawingml/2006/picture">
                        <pic:nvPicPr>
                          <pic:cNvPr id="1767548608" name=""/>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67275" cy="4419600"/>
                  <wp:docPr id="100006" name=""/>
                  <wp:cNvGraphicFramePr/>
                  <a:graphic xmlns:a="http://schemas.openxmlformats.org/drawingml/2006/main">
                    <a:graphicData uri="http://schemas.openxmlformats.org/drawingml/2006/picture">
                      <pic:pic xmlns:pic="http://schemas.openxmlformats.org/drawingml/2006/picture">
                        <pic:nvPicPr>
                          <pic:cNvPr id="950628851" name=""/>
                          <pic:cNvPicPr/>
                        </pic:nvPicPr>
                        <pic:blipFill>
                          <a:blip xmlns:r="http://schemas.openxmlformats.org/officeDocument/2006/relationships" r:embed="rId16"/>
                          <a:stretch>
                            <a:fillRect/>
                          </a:stretch>
                        </pic:blipFill>
                        <pic:spPr>
                          <a:xfrm>
                            <a:off x="0" y="0"/>
                            <a:ext cx="4867275" cy="4419600"/>
                          </a:xfrm>
                          <a:prstGeom prst="rect">
                            <a:avLst/>
                          </a:prstGeom>
                        </pic:spPr>
                      </pic:pic>
                    </a:graphicData>
                  </a:graphic>
                </wp:inline>
              </w:drawing>
            </w:r>
          </w:p>
          <w:p>
            <w:pPr>
              <w:pStyle w:val="Footer"/>
              <w:jc w:val="center"/>
              <w:rPr>
                <w:b w:val="0"/>
              </w:rPr>
            </w:pPr>
            <w:r>
              <w:rPr>
                <w:b w:val="0"/>
              </w:rPr>
              <w:t>Figure 3.1</w:t>
            </w:r>
          </w:p>
          <w:p>
            <w:pPr>
              <w:pStyle w:val="Footer"/>
              <w:jc w:val="center"/>
              <w:rPr>
                <w:b w:val="0"/>
              </w:rPr>
            </w:pPr>
            <w:r>
              <w:rPr>
                <w:b w:val="0"/>
              </w:rPr>
              <w:drawing>
                <wp:inline>
                  <wp:extent cx="4762500" cy="6143625"/>
                  <wp:docPr id="100007" name=""/>
                  <wp:cNvGraphicFramePr/>
                  <a:graphic xmlns:a="http://schemas.openxmlformats.org/drawingml/2006/main">
                    <a:graphicData uri="http://schemas.openxmlformats.org/drawingml/2006/picture">
                      <pic:pic xmlns:pic="http://schemas.openxmlformats.org/drawingml/2006/picture">
                        <pic:nvPicPr>
                          <pic:cNvPr id="1111877251" name=""/>
                          <pic:cNvPicPr/>
                        </pic:nvPicPr>
                        <pic:blipFill>
                          <a:blip xmlns:r="http://schemas.openxmlformats.org/officeDocument/2006/relationships" r:embed="rId17"/>
                          <a:stretch>
                            <a:fillRect/>
                          </a:stretch>
                        </pic:blipFill>
                        <pic:spPr>
                          <a:xfrm>
                            <a:off x="0" y="0"/>
                            <a:ext cx="4762500" cy="6143625"/>
                          </a:xfrm>
                          <a:prstGeom prst="rect">
                            <a:avLst/>
                          </a:prstGeom>
                        </pic:spPr>
                      </pic:pic>
                    </a:graphicData>
                  </a:graphic>
                </wp:inline>
              </w:drawing>
            </w:r>
          </w:p>
          <w:p>
            <w:pPr>
              <w:pStyle w:val="Footer"/>
              <w:jc w:val="center"/>
              <w:rPr>
                <w:b w:val="0"/>
              </w:rPr>
            </w:pPr>
            <w:r>
              <w:rPr>
                <w:b w:val="0"/>
              </w:rPr>
              <w:t>Figure 3.2</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69"/>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7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7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на пострадалите гори;</w:t>
            </w:r>
          </w:p>
          <w:p>
            <w:pPr>
              <w:numPr>
                <w:ilvl w:val="0"/>
                <w:numId w:val="27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7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7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w:t>
            </w:r>
          </w:p>
          <w:p>
            <w:pPr>
              <w:numPr>
                <w:ilvl w:val="0"/>
                <w:numId w:val="27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7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 ще бъде допустимо само ако:</w:t>
            </w:r>
          </w:p>
          <w:p>
            <w:pPr>
              <w:numPr>
                <w:ilvl w:val="0"/>
                <w:numId w:val="2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7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w:t>
            </w:r>
          </w:p>
          <w:p>
            <w:pPr>
              <w:numPr>
                <w:ilvl w:val="0"/>
                <w:numId w:val="2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1.Болести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а.Трахеомикоза по дъба - Ceratocystis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б.Рак по цера - Hipoxylon mediterraneum (De Not.) Mill.</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Холандска болест по бряста - Ceratocystis ulmi (Buism)</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Мастилена болест по кестена - Phytophthora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Съхнене на иглолистни видове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Неприятели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Гъботворка - Lymantria dispar (Linnaeus, 1759)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Златозадка - Euproctis chrisorrhoea - (Linnaeus, 1758)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Корояди - Curculionidae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Борова процесионка -Thaumatocampa pityocampa (Denis&amp;Schiffermüller,  1775)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Ръждива борова листна оса- Neodiprion sertifer (Geoffroy, 1785)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81"/>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8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издънкови гори в смесени високостъблени гори;</w:t>
            </w:r>
          </w:p>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и поддръжка на полезащитни пояси;</w:t>
            </w:r>
          </w:p>
          <w:p>
            <w:pPr>
              <w:numPr>
                <w:ilvl w:val="0"/>
                <w:numId w:val="2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w:t>
            </w:r>
          </w:p>
          <w:p>
            <w:pPr>
              <w:numPr>
                <w:ilvl w:val="0"/>
                <w:numId w:val="28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8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numPr>
                <w:ilvl w:val="0"/>
                <w:numId w:val="28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8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8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2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общини, собственици/стопанисващи горски територии;</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2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наематели на горски територии.</w:t>
            </w:r>
          </w:p>
          <w:p>
            <w:pPr>
              <w:numPr>
                <w:ilvl w:val="0"/>
                <w:numId w:val="2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w:t>
            </w:r>
          </w:p>
          <w:p>
            <w:pPr>
              <w:numPr>
                <w:ilvl w:val="0"/>
                <w:numId w:val="2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2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9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монокултури;</w:t>
            </w:r>
          </w:p>
          <w:p>
            <w:pPr>
              <w:numPr>
                <w:ilvl w:val="0"/>
                <w:numId w:val="29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97"/>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 на горски територии;</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МСП;</w:t>
            </w:r>
          </w:p>
          <w:p>
            <w:pPr>
              <w:numPr>
                <w:ilvl w:val="0"/>
                <w:numId w:val="2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30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3.Закупуване на софтуер;</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0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NACE Rev.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0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Сушене и импрегниране на дървен материал;</w:t>
            </w:r>
          </w:p>
          <w:p>
            <w:pPr>
              <w:numPr>
                <w:ilvl w:val="0"/>
                <w:numId w:val="3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Недопустими разходи </w:t>
            </w:r>
            <w:r>
              <w:rPr>
                <w:rStyle w:val="DefaultParagraphFont"/>
                <w:rFonts w:ascii="Times New Roman" w:eastAsia="Times New Roman" w:hAnsi="Times New Roman" w:cs="Times New Roman"/>
                <w:b/>
                <w:bCs/>
                <w:szCs w:val="24"/>
              </w:rPr>
              <w:t>са:</w:t>
            </w:r>
          </w:p>
          <w:p>
            <w:pPr>
              <w:numPr>
                <w:ilvl w:val="0"/>
                <w:numId w:val="30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M09 — Създаване на групи и организации на производителите (член 27)</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на мярката към междусекторните цели и приоритетни области</w:t>
            </w:r>
            <w:r>
              <w:rPr>
                <w:rStyle w:val="DefaultParagraphFont"/>
                <w:rFonts w:ascii="Times New Roman" w:eastAsia="Times New Roman" w:hAnsi="Times New Roman" w:cs="Times New Roman"/>
                <w:szCs w:val="24"/>
              </w:rPr>
              <w:t>3A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Изменение на климата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Опазване на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на мярката 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групата да има минимум четири членове;</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да има минимум шест члена;</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 разработен бизнес план за период от 5 години;</w:t>
            </w:r>
          </w:p>
          <w:p>
            <w:pPr>
              <w:numPr>
                <w:ilvl w:val="0"/>
                <w:numId w:val="3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изработи учредителен акт</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Допустими сектори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Зърнено-житни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Медицински и етерично-маслени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Зърнено-бобови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Технически култури, с изключение на тютюн;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Картофи;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Мляко;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Месо;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Биологично произведени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Винено грозде;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Яйца;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Плодове;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M10 — Агроекология и климат (член 28)</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numPr>
                <w:ilvl w:val="0"/>
                <w:numId w:val="3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почвеното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1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паша:</w:t>
            </w:r>
          </w:p>
          <w:p>
            <w:pPr>
              <w:numPr>
                <w:ilvl w:val="0"/>
                <w:numId w:val="3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косене:</w:t>
            </w:r>
          </w:p>
          <w:p>
            <w:pPr>
              <w:numPr>
                <w:ilvl w:val="0"/>
                <w:numId w:val="3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numPr>
                <w:ilvl w:val="0"/>
                <w:numId w:val="3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чрез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с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0,3 ха.</w:t>
            </w:r>
          </w:p>
          <w:p>
            <w:pPr>
              <w:numPr>
                <w:ilvl w:val="0"/>
                <w:numId w:val="3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w:t>
            </w:r>
          </w:p>
          <w:p>
            <w:pPr>
              <w:numPr>
                <w:ilvl w:val="0"/>
                <w:numId w:val="3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Направление „</w:t>
            </w:r>
            <w:r>
              <w:rPr>
                <w:rStyle w:val="DefaultParagraphFont"/>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Style w:val="DefaultParagraphFont"/>
                <w:rFonts w:ascii="Times New Roman" w:eastAsia="Times New Roman" w:hAnsi="Times New Roman" w:cs="Times New Roman"/>
                <w:b/>
                <w:bCs/>
                <w:szCs w:val="24"/>
              </w:rPr>
              <w:t>”</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2.3. Забрани за НАТУРА зона за птиците</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мероприятия в лозя и трайни насаждения:</w:t>
            </w:r>
          </w:p>
          <w:p>
            <w:pPr>
              <w:numPr>
                <w:ilvl w:val="0"/>
                <w:numId w:val="342"/>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42"/>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4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numPr>
                <w:ilvl w:val="0"/>
                <w:numId w:val="344"/>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44"/>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 земеделски земи в постоянно затревени площи – 315 евро/ха;</w:t>
            </w:r>
          </w:p>
          <w:p>
            <w:pPr>
              <w:numPr>
                <w:ilvl w:val="0"/>
                <w:numId w:val="3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създаване и поддържане на буферни ивици- 40 евро/ха;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5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Допълнителни изисквания за управление са:</w:t>
            </w:r>
          </w:p>
          <w:p>
            <w:pPr>
              <w:numPr>
                <w:ilvl w:val="0"/>
                <w:numId w:val="3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едър рогат добитък и биволи –  200 евро/животинска единица (ЖЕ);</w:t>
            </w:r>
          </w:p>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 145 евро/ЖЕ;</w:t>
            </w:r>
          </w:p>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свине - 122 евро/ЖЕ;</w:t>
            </w:r>
          </w:p>
          <w:p>
            <w:pPr>
              <w:numPr>
                <w:ilvl w:val="0"/>
                <w:numId w:val="3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коне – 143 евро/ЖЕ;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около 6000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 около 150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видове култури – няма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Минимален размер за участие в дейността е 0,1 ха.</w:t>
            </w:r>
          </w:p>
          <w:p>
            <w:pPr>
              <w:numPr>
                <w:ilvl w:val="0"/>
                <w:numId w:val="3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7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–223,95 евро/ха;</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–787,39 евро/ха;</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- 429,48 евро/ха;</w:t>
            </w:r>
          </w:p>
          <w:p>
            <w:pPr>
              <w:numPr>
                <w:ilvl w:val="0"/>
                <w:numId w:val="3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numPr>
                <w:ilvl w:val="0"/>
                <w:numId w:val="3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едно местоположение се разполагат до 50 пчелни семейства</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 аграрни доклади на МЗХ,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1. За направление </w:t>
            </w:r>
            <w:r>
              <w:rPr>
                <w:rStyle w:val="DefaultParagraphFont"/>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дейност </w:t>
            </w:r>
            <w:r>
              <w:rPr>
                <w:rStyle w:val="DefaultParagraphFont"/>
                <w:rFonts w:ascii="Times New Roman" w:eastAsia="Times New Roman" w:hAnsi="Times New Roman" w:cs="Times New Roman"/>
                <w:b/>
                <w:bCs/>
                <w:szCs w:val="24"/>
              </w:rPr>
              <w:t>поддържане на затревени площи с висока природна стойност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чрез паша</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w:t>
            </w:r>
            <w:r>
              <w:rPr>
                <w:rStyle w:val="DefaultParagraphFont"/>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За  направленията, включени в </w:t>
            </w:r>
            <w:r>
              <w:rPr>
                <w:rStyle w:val="DefaultParagraphFont"/>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Style w:val="DefaultParagraphFont"/>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3. Направление </w:t>
            </w:r>
            <w:r>
              <w:rPr>
                <w:rStyle w:val="DefaultParagraphFont"/>
                <w:rFonts w:ascii="Times New Roman" w:eastAsia="Times New Roman" w:hAnsi="Times New Roman" w:cs="Times New Roman"/>
                <w:szCs w:val="24"/>
                <w:u w:val="single"/>
              </w:rPr>
              <w:t>10.1.3 Контрол на почвената ерозия</w:t>
            </w:r>
          </w:p>
          <w:p>
            <w:pPr>
              <w:numPr>
                <w:ilvl w:val="0"/>
                <w:numId w:val="3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4. Направление </w:t>
            </w:r>
            <w:r>
              <w:rPr>
                <w:rStyle w:val="DefaultParagraphFont"/>
                <w:rFonts w:ascii="Times New Roman" w:eastAsia="Times New Roman" w:hAnsi="Times New Roman" w:cs="Times New Roman"/>
                <w:szCs w:val="24"/>
                <w:u w:val="single"/>
              </w:rPr>
              <w:t>10.1.4. Традиционни практики за сезонна паша (пасторализъм)</w:t>
            </w:r>
          </w:p>
          <w:p>
            <w:pPr>
              <w:numPr>
                <w:ilvl w:val="0"/>
                <w:numId w:val="3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за 5 месеца паша при 1ЖЕ/ха.</w:t>
            </w:r>
          </w:p>
          <w:p>
            <w:pPr>
              <w:numPr>
                <w:ilvl w:val="0"/>
                <w:numId w:val="3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 xml:space="preserve">за 5 месеца паша при 1ЖЕ/ха и </w:t>
            </w:r>
            <w:r>
              <w:rPr>
                <w:rStyle w:val="DefaultParagraphFont"/>
                <w:rFonts w:ascii="Times New Roman" w:eastAsia="Times New Roman" w:hAnsi="Times New Roman" w:cs="Times New Roman"/>
                <w:b/>
                <w:bCs/>
                <w:szCs w:val="24"/>
              </w:rPr>
              <w:t>допълнителни разходи</w:t>
            </w:r>
            <w:r>
              <w:rPr>
                <w:rStyle w:val="DefaultParagraphFont"/>
                <w:rFonts w:ascii="Times New Roman" w:eastAsia="Times New Roman" w:hAnsi="Times New Roman" w:cs="Times New Roman"/>
                <w:szCs w:val="24"/>
              </w:rPr>
              <w:t xml:space="preserve"> за две работни кучета.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5. Направление </w:t>
            </w:r>
            <w:r>
              <w:rPr>
                <w:rStyle w:val="DefaultParagraphFont"/>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Style w:val="DefaultParagraphFont"/>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6. Направление </w:t>
            </w:r>
            <w:r>
              <w:rPr>
                <w:rStyle w:val="DefaultParagraphFont"/>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Направление </w:t>
            </w:r>
            <w:r>
              <w:rPr>
                <w:rStyle w:val="DefaultParagraphFont"/>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Комбиниране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дейности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други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мерки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подмерки</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rPr>
              <w:t>чиито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плащания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площ</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животинска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b/>
                <w:bCs/>
                <w:szCs w:val="24"/>
              </w:rPr>
              <w:t>:</w:t>
            </w:r>
          </w:p>
          <w:p>
            <w:pPr>
              <w:numPr>
                <w:ilvl w:val="0"/>
                <w:numId w:val="38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М11 — Биологично земеделие (член 29)</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мярка ще се изпълняват две подмерки:</w:t>
            </w:r>
          </w:p>
          <w:p>
            <w:pPr>
              <w:numPr>
                <w:ilvl w:val="0"/>
                <w:numId w:val="38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90"/>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Style w:val="DefaultParagraphFont"/>
                <w:rFonts w:ascii="Times New Roman" w:eastAsia="Times New Roman" w:hAnsi="Times New Roman" w:cs="Times New Roman"/>
                <w:i/>
                <w:iCs/>
                <w:szCs w:val="24"/>
              </w:rPr>
              <w:t>Преходният период</w:t>
            </w:r>
            <w:r>
              <w:rPr>
                <w:rStyle w:val="DefaultParagraphFont"/>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трябва да:</w:t>
            </w:r>
          </w:p>
          <w:p>
            <w:pPr>
              <w:numPr>
                <w:ilvl w:val="0"/>
                <w:numId w:val="3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3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- 284 Евро/ха;</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 128 Евро/ха;</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 736 Евро/ха;</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515 Евро/ха;</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575 Евро/ха;</w:t>
            </w:r>
          </w:p>
          <w:p>
            <w:pPr>
              <w:numPr>
                <w:ilvl w:val="0"/>
                <w:numId w:val="3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дребни преживни животни (овце-майки и  кози- майки), отглеждани за комбинирано производство (мляко 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4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40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пчеларство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животновъдство</w:t>
            </w:r>
          </w:p>
          <w:p>
            <w:pPr>
              <w:numPr>
                <w:ilvl w:val="0"/>
                <w:numId w:val="4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08"/>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4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1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тази мярка, трябва да:</w:t>
            </w:r>
          </w:p>
          <w:p>
            <w:pPr>
              <w:numPr>
                <w:ilvl w:val="0"/>
                <w:numId w:val="4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фуражи, ливади и пасища в съотношение от 1 ЖЕ на 1 ха.</w:t>
            </w:r>
          </w:p>
          <w:p>
            <w:pPr>
              <w:numPr>
                <w:ilvl w:val="0"/>
                <w:numId w:val="4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4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168 Евро/ха;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–112 Евро/ха;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–557 Евро/ха;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405 Евро/ха;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399 Евро/ха;</w:t>
            </w:r>
          </w:p>
          <w:p>
            <w:pPr>
              <w:numPr>
                <w:ilvl w:val="0"/>
                <w:numId w:val="4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25 Евро/пчелно семейство;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Style w:val="DefaultParagraphFont"/>
                <w:rFonts w:ascii="Times New Roman" w:eastAsia="Times New Roman" w:hAnsi="Times New Roman" w:cs="Times New Roman"/>
                <w:b/>
                <w:bCs/>
                <w:szCs w:val="24"/>
              </w:rPr>
              <w:t>:</w:t>
            </w:r>
          </w:p>
          <w:p>
            <w:pPr>
              <w:numPr>
                <w:ilvl w:val="0"/>
                <w:numId w:val="4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дребни преживни животни (овце-майки и  кози-майки), отглеждани за комбинирано производство (мляко 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4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4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пчеларство</w:t>
            </w:r>
          </w:p>
          <w:p>
            <w:pPr>
              <w:numPr>
                <w:ilvl w:val="0"/>
                <w:numId w:val="42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8"/>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животновъдство</w:t>
            </w:r>
          </w:p>
          <w:p>
            <w:pPr>
              <w:numPr>
                <w:ilvl w:val="0"/>
                <w:numId w:val="4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компенсаторното плащане при </w:t>
            </w:r>
            <w:r>
              <w:rPr>
                <w:rStyle w:val="DefaultParagraphFont"/>
                <w:rFonts w:ascii="Times New Roman" w:eastAsia="Times New Roman" w:hAnsi="Times New Roman" w:cs="Times New Roman"/>
                <w:b/>
                <w:bCs/>
                <w:i/>
                <w:iCs/>
                <w:szCs w:val="24"/>
              </w:rPr>
              <w:t>биологично растениевъдство</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 овощни култури и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от открити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Пропуснатите приходи са резултат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разходи са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сертифициране;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по-скъпи лекарства и дезинфектанти.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 Цените на труда, суровините и материалите са определени на базата на данни от НСИ, САПИ и МЗХ от последните три години (2011,2012 и 2013 г.). Цените на живия труд са диференцирани на нива ръчен и механизиран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 xml:space="preserve"> „Биологично земеделие” на ПРСР 2014-2020</w:t>
            </w:r>
            <w:r>
              <w:rPr>
                <w:rStyle w:val="DefaultParagraphFont"/>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w:t>
            </w:r>
            <w:r>
              <w:rPr>
                <w:rStyle w:val="DefaultParagraphFont"/>
                <w:rFonts w:ascii="Times New Roman" w:eastAsia="Times New Roman" w:hAnsi="Times New Roman" w:cs="Times New Roman"/>
                <w:b/>
                <w:bCs/>
                <w:i/>
                <w:iCs/>
                <w:szCs w:val="24"/>
              </w:rPr>
              <w:t xml:space="preserve"> и</w:t>
            </w:r>
            <w:r>
              <w:rPr>
                <w:rStyle w:val="DefaultParagraphFont"/>
                <w:rFonts w:ascii="Times New Roman" w:eastAsia="Times New Roman" w:hAnsi="Times New Roman" w:cs="Times New Roman"/>
                <w:b/>
                <w:bCs/>
                <w:i/>
                <w:iCs/>
                <w:szCs w:val="24"/>
              </w:rPr>
              <w:t xml:space="preserve"> допълняемост</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други</w:t>
            </w:r>
            <w:r>
              <w:rPr>
                <w:rStyle w:val="DefaultParagraphFont"/>
                <w:rFonts w:ascii="Times New Roman" w:eastAsia="Times New Roman" w:hAnsi="Times New Roman" w:cs="Times New Roman"/>
                <w:b/>
                <w:bCs/>
                <w:i/>
                <w:iCs/>
                <w:szCs w:val="24"/>
              </w:rPr>
              <w:t xml:space="preserve"> мерки</w:t>
            </w:r>
            <w:r>
              <w:rPr>
                <w:rStyle w:val="DefaultParagraphFont"/>
                <w:rFonts w:ascii="Times New Roman" w:eastAsia="Times New Roman" w:hAnsi="Times New Roman" w:cs="Times New Roman"/>
                <w:b/>
                <w:bCs/>
                <w:i/>
                <w:iCs/>
                <w:szCs w:val="24"/>
              </w:rPr>
              <w:t xml:space="preserve"> от</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плащания</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единица</w:t>
            </w:r>
            <w:r>
              <w:rPr>
                <w:rStyle w:val="DefaultParagraphFont"/>
                <w:rFonts w:ascii="Times New Roman" w:eastAsia="Times New Roman" w:hAnsi="Times New Roman" w:cs="Times New Roman"/>
                <w:b/>
                <w:bCs/>
                <w:i/>
                <w:iCs/>
                <w:szCs w:val="24"/>
              </w:rPr>
              <w:t xml:space="preserve"> площ</w:t>
            </w:r>
          </w:p>
          <w:p>
            <w:pPr>
              <w:numPr>
                <w:ilvl w:val="0"/>
                <w:numId w:val="43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7" w:name="_Toc256000127"/>
      <w:r>
        <w:rPr>
          <w:b w:val="0"/>
        </w:rPr>
        <w:t>M12 — Плащания по „Натура 2000“ и Рамковата директива за водите (член 30)</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35"/>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7"/>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8"/>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8"/>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Минимална площ за участие в мярката – 0,3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представени в Приложение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Базови изисквания</w:t>
            </w:r>
          </w:p>
          <w:p>
            <w:pPr>
              <w:numPr>
                <w:ilvl w:val="0"/>
                <w:numId w:val="44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2.Трайни насаждения</w:t>
            </w:r>
          </w:p>
          <w:p>
            <w:pPr>
              <w:numPr>
                <w:ilvl w:val="0"/>
                <w:numId w:val="44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w:t>
            </w:r>
            <w:r>
              <w:rPr>
                <w:rStyle w:val="DefaultParagraphFont"/>
                <w:rFonts w:ascii="Times New Roman" w:eastAsia="Times New Roman" w:hAnsi="Times New Roman" w:cs="Times New Roman"/>
                <w:szCs w:val="24"/>
              </w:rPr>
              <w:t>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4"/>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 xml:space="preserve">Базови изисквания </w:t>
            </w:r>
          </w:p>
          <w:p>
            <w:pPr>
              <w:numPr>
                <w:ilvl w:val="0"/>
                <w:numId w:val="44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2.Трайни насаждения </w:t>
            </w:r>
          </w:p>
          <w:p>
            <w:pPr>
              <w:numPr>
                <w:ilvl w:val="0"/>
                <w:numId w:val="4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Style w:val="DefaultParagraphFont"/>
                <w:rFonts w:ascii="Times New Roman" w:eastAsia="Times New Roman" w:hAnsi="Times New Roman" w:cs="Times New Roman"/>
                <w:b/>
                <w:bCs/>
                <w:i/>
                <w:iCs/>
                <w:szCs w:val="24"/>
              </w:rPr>
              <w:t>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4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8" w:name="_Toc256000128"/>
      <w:r>
        <w:rPr>
          <w:b w:val="0"/>
        </w:rPr>
        <w:t>М13 — Плащания за райони, изправени пред природни или други специфични ограничения (член 31)</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Style w:val="DefaultParagraphFont"/>
                <w:rFonts w:ascii="Times New Roman" w:eastAsia="Times New Roman" w:hAnsi="Times New Roman" w:cs="Times New Roman"/>
                <w:b/>
                <w:bCs/>
                <w:szCs w:val="24"/>
              </w:rPr>
              <w:t xml:space="preserve">земеделските земи </w:t>
            </w:r>
            <w:r>
              <w:rPr>
                <w:rStyle w:val="DefaultParagraphFont"/>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13.1 Компенсационни плащания в планински райони;</w:t>
            </w:r>
          </w:p>
          <w:p>
            <w:pPr>
              <w:numPr>
                <w:ilvl w:val="0"/>
                <w:numId w:val="4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Плащанията по мярката допринасят за постигане на целите на </w:t>
            </w:r>
            <w:r>
              <w:rPr>
                <w:rStyle w:val="DefaultParagraphFont"/>
                <w:rFonts w:ascii="Times New Roman" w:eastAsia="Times New Roman" w:hAnsi="Times New Roman" w:cs="Times New Roman"/>
                <w:b/>
                <w:bCs/>
                <w:szCs w:val="24"/>
              </w:rPr>
              <w:t>приоритет 4</w:t>
            </w:r>
            <w:r>
              <w:rPr>
                <w:rStyle w:val="DefaultParagraphFont"/>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Style w:val="DefaultParagraphFont"/>
                <w:rFonts w:ascii="Times New Roman" w:eastAsia="Times New Roman" w:hAnsi="Times New Roman" w:cs="Times New Roman"/>
                <w:b/>
                <w:bCs/>
                <w:szCs w:val="24"/>
              </w:rPr>
              <w:t>приоритетна област 4А</w:t>
            </w:r>
            <w:r>
              <w:rPr>
                <w:rStyle w:val="DefaultParagraphFont"/>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1"/>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планинските райони в България 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планинските райони: Figure</w:t>
            </w:r>
            <w:r>
              <w:rPr>
                <w:rStyle w:val="DefaultParagraphFont"/>
                <w:rFonts w:ascii="Times New Roman" w:eastAsia="Times New Roman" w:hAnsi="Times New Roman" w:cs="Times New Roman"/>
                <w:b/>
                <w:bCs/>
                <w:szCs w:val="24"/>
              </w:rPr>
              <w:t xml:space="preserve">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8" name=""/>
                  <wp:cNvGraphicFramePr/>
                  <a:graphic xmlns:a="http://schemas.openxmlformats.org/drawingml/2006/main">
                    <a:graphicData uri="http://schemas.openxmlformats.org/drawingml/2006/picture">
                      <pic:pic xmlns:pic="http://schemas.openxmlformats.org/drawingml/2006/picture">
                        <pic:nvPicPr>
                          <pic:cNvPr id="1189138165" name=""/>
                          <pic:cNvPicPr/>
                        </pic:nvPicPr>
                        <pic:blipFill>
                          <a:blip xmlns:r="http://schemas.openxmlformats.org/officeDocument/2006/relationships" r:embed="rId18"/>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- 130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- 70евро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2"/>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другите необлагодетелствани райони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със съществени природни ограничения (ТАБЛИЦА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9" name=""/>
                  <wp:cNvGraphicFramePr/>
                  <a:graphic xmlns:a="http://schemas.openxmlformats.org/drawingml/2006/main">
                    <a:graphicData uri="http://schemas.openxmlformats.org/drawingml/2006/picture">
                      <pic:pic xmlns:pic="http://schemas.openxmlformats.org/drawingml/2006/picture">
                        <pic:nvPicPr>
                          <pic:cNvPr id="1696649322" name=""/>
                          <pic:cNvPicPr/>
                        </pic:nvPicPr>
                        <pic:blipFill>
                          <a:blip xmlns:r="http://schemas.openxmlformats.org/officeDocument/2006/relationships" r:embed="rId19"/>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w:t>
            </w:r>
            <w:r>
              <w:rPr>
                <w:rStyle w:val="DefaultParagraphFont"/>
                <w:rFonts w:ascii="Times New Roman" w:eastAsia="Times New Roman" w:hAnsi="Times New Roman" w:cs="Times New Roman"/>
                <w:szCs w:val="24"/>
              </w:rPr>
              <w:t>70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- 30евро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- 15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е разработена от:</w:t>
            </w:r>
          </w:p>
          <w:p>
            <w:pPr>
              <w:numPr>
                <w:ilvl w:val="0"/>
                <w:numId w:val="4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 Институт по аграрна икономика </w:t>
            </w:r>
          </w:p>
          <w:p>
            <w:pPr>
              <w:numPr>
                <w:ilvl w:val="0"/>
                <w:numId w:val="4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Ас. Емилия Соколова –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 Дирекция „Растениевъдство” на МЗХ,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Планинските райони са землища които са:</w:t>
            </w:r>
          </w:p>
          <w:p>
            <w:pPr>
              <w:numPr>
                <w:ilvl w:val="0"/>
                <w:numId w:val="45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минимум 700 м;</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среден наклон на терена минимум 20%;</w:t>
            </w:r>
          </w:p>
          <w:p>
            <w:pPr>
              <w:numPr>
                <w:ilvl w:val="0"/>
                <w:numId w:val="45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Други важни забележки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старата програмата до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 най-късно в края на 2017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pStyle w:val="BodyText"/>
              <w:jc w:val="both"/>
              <w:rPr>
                <w:b w:val="0"/>
              </w:rPr>
            </w:pPr>
          </w:p>
        </w:tc>
      </w:tr>
    </w:tbl>
    <w:p>
      <w:pPr>
        <w:pStyle w:val="Heading3"/>
        <w:jc w:val="left"/>
        <w:rPr>
          <w:b w:val="0"/>
        </w:rPr>
      </w:pPr>
      <w:r>
        <w:rPr>
          <w:b w:val="0"/>
        </w:rPr>
        <w:br w:type="page"/>
      </w:r>
      <w:bookmarkStart w:id="129" w:name="_Toc256000129"/>
      <w:r>
        <w:rPr>
          <w:b w:val="0"/>
        </w:rPr>
        <w:t>M14 — Хуманно отношение към животните (член 33)</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областите на въздействие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Цели на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Тип на подпомагането: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годишни плащания за покриване  на допълнителни разходи или пропуснати доходи, свързани с изпълнение на доброволни ангажименти, поети за период от най-малко 5 години от земеделски производители, отглеждащи преживни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намаляване на броя на отглежданите животни, респективно приходите от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Mинимум 160 дни годишно, от които минимум 120 дни за свободно пашуване и 40 дни за свободно отглеждане в дворчета.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крави над 24 месеца - най-малко 6.6 м2 в помещение и най-малко 6.6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биволици над 24 месеца - най-малко 7.7 м2 в помещение и най-малко 7.7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w:t>
            </w:r>
            <w:r>
              <w:rPr>
                <w:rStyle w:val="DefaultParagraphFont"/>
                <w:rFonts w:ascii="Times New Roman" w:eastAsia="Times New Roman" w:hAnsi="Times New Roman" w:cs="Times New Roman"/>
                <w:b/>
                <w:bCs/>
                <w:szCs w:val="24"/>
              </w:rPr>
              <w:t xml:space="preserve">2 </w:t>
            </w:r>
            <w:r>
              <w:rPr>
                <w:rStyle w:val="DefaultParagraphFont"/>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5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телета в евро/ЖЕ - 27,46 евро;</w:t>
            </w:r>
          </w:p>
          <w:p>
            <w:pPr>
              <w:numPr>
                <w:ilvl w:val="0"/>
                <w:numId w:val="4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крави над 24 месеца - най-малко 6 м2 в помещение и най-малко 6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биволици над 24 месеца - най-малко 7 м2 в помещение и най-малко 7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14.1.2 Осигуряване на свободно отглеждане на открито - </w:t>
            </w:r>
            <w:r>
              <w:rPr>
                <w:rStyle w:val="DefaultParagraphFont"/>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9"/>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2,4 – 2,6 м2/на двор 3,3 -3,9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1,1 – 1,5 м2/на двор 1,7 -2,8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0,7 - 0,8 м2/на двор 1,7 -2,2 м2;</w:t>
            </w:r>
          </w:p>
          <w:p>
            <w:pPr>
              <w:numPr>
                <w:ilvl w:val="0"/>
                <w:numId w:val="459"/>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w:t>
            </w:r>
          </w:p>
          <w:p>
            <w:pPr>
              <w:numPr>
                <w:ilvl w:val="0"/>
                <w:numId w:val="463"/>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2,2 – 2,4 м2/на двор 3,0 -3,5 м2;</w:t>
            </w:r>
          </w:p>
          <w:p>
            <w:pPr>
              <w:numPr>
                <w:ilvl w:val="0"/>
                <w:numId w:val="46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1,0 – 1,4 м2/на двор 1,5 -2,5 м2;</w:t>
            </w:r>
          </w:p>
          <w:p>
            <w:pPr>
              <w:numPr>
                <w:ilvl w:val="0"/>
                <w:numId w:val="46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 м2/на двор 0,6 -0,7;</w:t>
            </w:r>
          </w:p>
          <w:p>
            <w:pPr>
              <w:numPr>
                <w:ilvl w:val="0"/>
                <w:numId w:val="46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0,6 - 0,7 м2/на двор 1,5 -2,0 м2;</w:t>
            </w:r>
          </w:p>
          <w:p>
            <w:pPr>
              <w:numPr>
                <w:ilvl w:val="0"/>
                <w:numId w:val="463"/>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0,9 м2/на двор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Осъществяване на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ветеринарномедицинската дейност (ЗВД);</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на животните;</w:t>
            </w:r>
          </w:p>
          <w:p>
            <w:pPr>
              <w:numPr>
                <w:ilvl w:val="0"/>
                <w:numId w:val="4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Style w:val="DefaultParagraphFont"/>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овцете и козите - 0,15 ЖЕ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0" w:name="_Toc256000130"/>
      <w:r>
        <w:rPr>
          <w:b w:val="0"/>
        </w:rPr>
        <w:t>М15 — Екологични услуги и услуги във връзка с климата в горското стопанство и опазване на горите (член 34)</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8"/>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ІІ. За целите по т.І са допустими и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Целта на мярката</w:t>
            </w:r>
            <w:r>
              <w:rPr>
                <w:rStyle w:val="DefaultParagraphFont"/>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приоритетна област 1Б</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Style w:val="DefaultParagraphFont"/>
                <w:rFonts w:ascii="Times New Roman" w:eastAsia="Times New Roman" w:hAnsi="Times New Roman" w:cs="Times New Roman"/>
                <w:b/>
                <w:bCs/>
                <w:szCs w:val="24"/>
              </w:rPr>
              <w:t>2А, 3А, 4А, 4Б, 4В, 5А, 5Б, 5В, 5Г, 5Д</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1"/>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Style w:val="DefaultParagraphFont"/>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Style w:val="DefaultParagraphFont"/>
                <w:rFonts w:ascii="Times New Roman" w:eastAsia="Times New Roman" w:hAnsi="Times New Roman" w:cs="Times New Roman"/>
                <w:b/>
                <w:bCs/>
                <w:szCs w:val="24"/>
              </w:rPr>
              <w:t>част 8.2.14.7.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в областта на преработката на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план, който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подбор на проекти </w:t>
            </w:r>
            <w:r>
              <w:rPr>
                <w:rStyle w:val="DefaultParagraphFont"/>
                <w:rFonts w:ascii="Times New Roman" w:eastAsia="Times New Roman" w:hAnsi="Times New Roman" w:cs="Times New Roman"/>
                <w:szCs w:val="24"/>
                <w:u w:val="single"/>
              </w:rPr>
              <w:t>за първа фаза</w:t>
            </w:r>
            <w:r>
              <w:rPr>
                <w:rStyle w:val="DefaultParagraphFont"/>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оперативни групи, изпълнявали </w:t>
            </w:r>
            <w:r>
              <w:rPr>
                <w:rStyle w:val="DefaultParagraphFont"/>
                <w:rFonts w:ascii="Times New Roman" w:eastAsia="Times New Roman" w:hAnsi="Times New Roman" w:cs="Times New Roman"/>
                <w:szCs w:val="24"/>
                <w:u w:val="single"/>
              </w:rPr>
              <w:t>проекти с първа фаза</w:t>
            </w:r>
            <w:r>
              <w:rPr>
                <w:rStyle w:val="DefaultParagraphFont"/>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една оперативна група за един проект е 1 000 000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16.1.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иновативния проект на оперативните групи. Определянето на вида на опростените разходи за сформиране и функциониране на ОП на ЕПИ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оперативната група;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4"/>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Съдържанието на плана е представено в </w:t>
            </w:r>
            <w:r>
              <w:rPr>
                <w:rStyle w:val="DefaultParagraphFont"/>
                <w:rFonts w:ascii="Times New Roman" w:eastAsia="Times New Roman" w:hAnsi="Times New Roman" w:cs="Times New Roman"/>
                <w:b/>
                <w:bCs/>
                <w:szCs w:val="24"/>
              </w:rPr>
              <w:t>т. 8.2.14.3.2.12. Information specific to the operation</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6"/>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къса верига на доставки 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местен пазар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Търговци на дребно;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земеделските стопани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Бизнес план за изпълнение на дейностите;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 за популяризиране.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Договор за създаване на обединението.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териториалния обхват на проекта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участниците  в проекта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16.4.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колективен проект за сътрудничество на обединение за къса верига на доставки или обединение за местен пазар.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четири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 и разходи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 Процедури по подмярка 16.1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 Процедури по подмярка 16.2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Цел и обхват на дейностите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приоритети на ВОМР са свързани 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Style w:val="DefaultParagraphFont"/>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9"/>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Обучение на местни заинтересовани страни;</w:t>
            </w:r>
          </w:p>
          <w:p>
            <w:pPr>
              <w:numPr>
                <w:ilvl w:val="0"/>
                <w:numId w:val="4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в съответната територия;</w:t>
            </w:r>
          </w:p>
          <w:p>
            <w:pPr>
              <w:numPr>
                <w:ilvl w:val="0"/>
                <w:numId w:val="4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и анализи на територията;</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Б за подпомагане на малки пилотни проекти:</w:t>
            </w:r>
          </w:p>
          <w:p>
            <w:pPr>
              <w:numPr>
                <w:ilvl w:val="0"/>
                <w:numId w:val="4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предостави доказателства, че са в обществена полза;</w:t>
            </w:r>
          </w:p>
          <w:p>
            <w:pPr>
              <w:numPr>
                <w:ilvl w:val="0"/>
                <w:numId w:val="4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общини в състава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-Население на територията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Б</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полза на проекта за местната общност;</w:t>
            </w:r>
          </w:p>
          <w:p>
            <w:pPr>
              <w:numPr>
                <w:ilvl w:val="0"/>
                <w:numId w:val="4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100% от общите допустими разходи;</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7"/>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разходи съгласно чл. 45 от Регламент (EC) № 1305/2013;</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се изпълняват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за един проект, подпомаган от ЕЗФРСР по стратегията за водено от общностите местно развитие не може да надвишава левовата равностойност на 200 000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9"/>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публикации в медиите;</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9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прилагат от МИГ, одобрени от Управляващия орган;</w:t>
            </w:r>
          </w:p>
          <w:p>
            <w:pPr>
              <w:numPr>
                <w:ilvl w:val="0"/>
                <w:numId w:val="4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целят развитието на територии, покрити от стратегии на МИГ;</w:t>
            </w:r>
          </w:p>
          <w:p>
            <w:pPr>
              <w:numPr>
                <w:ilvl w:val="0"/>
                <w:numId w:val="4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проекта;</w:t>
            </w:r>
          </w:p>
          <w:p>
            <w:pPr>
              <w:numPr>
                <w:ilvl w:val="0"/>
                <w:numId w:val="4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ясна обвързаност с целите на СМР;</w:t>
            </w:r>
          </w:p>
          <w:p>
            <w:pPr>
              <w:numPr>
                <w:ilvl w:val="0"/>
                <w:numId w:val="4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95"/>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 от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(Data mining) като процес на откриване на смислени корелации зависимости, повтарящи се образци и тенденции в големи масиви от данни. Този вид извличане на данни за предишен период (2009 - 2014 г.) посредством предварително формулирани заявки към базите данни, събрани по мярка 431 „Управление на МИГ, придобиване на умения и постигане на обществена активност на съответната територия“ от ос 4 ЛИДЕР на ПРСР 2007–2013 г. генерира имплицитно формулирана на неочевидна, предварително известна и полезна информация за използване на допустими, одобрени, прозрачно и точно направени разходи в минали периоди за оценка на бъдещите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Data mining представлява процес на анализ на съхраняваните бази данни в посока на извличане на нова полезна информация чрез разкриване на дълбоките и скрити взаимоотношения между на пръв поглед неизвестни и несвързани една с друга величини. Важна негова особеност е, че той осигурява възможност за обработка на многомерни масиви и извличане на многомерни зависимости, като същевременно автоматично разкрива изключителните ситуации - данни и случаи, не включващи се в общите закономерности. Data mining технологията анализира и разкрива зависимости между различни компоненти и параметри. На тази база са обработени, проверени, анализирани и извлечени статистически обосновани стандартни таблици за опростените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Събрани са и анализирани масиви от данни по мярка 431 за местните общности, които са прилагали подхода ЛИДЕР през програмния период 2007 – 2013 г. В допълнение е събрана допълнителна статистическа информация от следните достоверни източници, в които посочените разходи са надлежно описани и документирани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Национален статистически институт (НСИ) за периода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структурните фондове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Финансовия механизъм на европейското икономическо пространство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гореописаната методика са извлечени, статистически обработени и изчислени средните стойности на релевантни дейности, които са прилагани по подхода ЛИДЕР през програмния период 2007 – 2013 г. и на тяхна база са предложени стандартни таблица за разходите за единица продукт и еднократни суми.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 62, пар. 2 от Регламент 1305/2013. Методиката е представена в Приложение № 17 към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4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4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4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Обявяване на покана за прием на стратегии;</w:t>
            </w:r>
          </w:p>
          <w:p>
            <w:pPr>
              <w:numPr>
                <w:ilvl w:val="0"/>
                <w:numId w:val="4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4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постъпилите стратегии.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и храните,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допустимост</w:t>
            </w:r>
          </w:p>
          <w:p>
            <w:pPr>
              <w:numPr>
                <w:ilvl w:val="0"/>
                <w:numId w:val="4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 на припокриване на една и съща територия от различни МИГ;</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4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4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избор</w:t>
            </w:r>
          </w:p>
          <w:p>
            <w:pPr>
              <w:numPr>
                <w:ilvl w:val="0"/>
                <w:numId w:val="4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4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СМР;</w:t>
            </w:r>
          </w:p>
          <w:p>
            <w:pPr>
              <w:numPr>
                <w:ilvl w:val="0"/>
                <w:numId w:val="4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 за прилагане на стратегията.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Управляващия/те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33" w:name="_Toc256000133"/>
      <w:r>
        <w:t>План за оценка</w:t>
      </w:r>
      <w:bookmarkEnd w:id="133"/>
    </w:p>
    <w:p>
      <w:pPr>
        <w:pStyle w:val="Heading2"/>
      </w:pPr>
      <w:bookmarkStart w:id="134" w:name="_Toc256000134"/>
      <w:r>
        <w:t>Цели и задачи</w:t>
      </w:r>
      <w:bookmarkEnd w:id="134"/>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 План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9.1. Задачи и цели на Плана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Предназначението на </w:t>
            </w:r>
            <w:r>
              <w:rPr>
                <w:rStyle w:val="DefaultParagraphFont"/>
                <w:rFonts w:ascii="Times New Roman" w:eastAsia="Times New Roman" w:hAnsi="Times New Roman" w:cs="Times New Roman"/>
                <w:b/>
                <w:bCs/>
                <w:szCs w:val="24"/>
              </w:rPr>
              <w:t>Плана за оценка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5" w:name="_Toc256000135"/>
      <w:r>
        <w:t>Управление и координация</w:t>
      </w:r>
      <w:bookmarkEnd w:id="135"/>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9.2. Управление и координация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остатъчните бюджети по мерките,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6" w:name="_Toc256000136"/>
      <w:r>
        <w:t>Предмет на оценката и дейности</w:t>
      </w:r>
      <w:bookmarkEnd w:id="136"/>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9.3. Теми и дейности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за оценка в тях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  Тема: </w:t>
            </w:r>
            <w:r>
              <w:rPr>
                <w:rStyle w:val="DefaultParagraphFont"/>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Тема: </w:t>
            </w:r>
            <w:r>
              <w:rPr>
                <w:rStyle w:val="DefaultParagraphFont"/>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7" w:name="_Toc256000137"/>
      <w:r>
        <w:t>Данни и информация</w:t>
      </w:r>
      <w:bookmarkEnd w:id="137"/>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9.4. Данни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Style w:val="DefaultParagraphFont"/>
                <w:rFonts w:ascii="Times New Roman" w:eastAsia="Times New Roman" w:hAnsi="Times New Roman" w:cs="Times New Roman"/>
                <w:b/>
                <w:bCs/>
                <w:szCs w:val="24"/>
              </w:rPr>
              <w:t xml:space="preserve">информационният модул за наблюдение </w:t>
            </w:r>
            <w:r>
              <w:rPr>
                <w:rStyle w:val="DefaultParagraphFont"/>
                <w:rFonts w:ascii="Times New Roman" w:eastAsia="Times New Roman" w:hAnsi="Times New Roman" w:cs="Times New Roman"/>
                <w:szCs w:val="24"/>
              </w:rPr>
              <w:t>трябва да има следните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8" w:name="_Toc256000138"/>
      <w:r>
        <w:t>График</w:t>
      </w:r>
      <w:bookmarkEnd w:id="138"/>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9.5. График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октомври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октомври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- 31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2.Извършване на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3.Оценка на информационните системи за наблюдение и за индикатори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4.Извършване на цялостна оценка на ПРСР (2014-2020) за периода от одобрение на ПРСР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5.Оценка на прилагането на финансови инструменти за периода от одобрение на ПРСР (2014-2020) до края на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6.Извършване на оценка на ефективността, ефикасността и въздействието от работата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май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7.Извършване на цялостна оценка на ПРСР (2014-2020) за периода от одобрение на ПРСР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април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май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8.Предварителна оценка на ПРСР (2021-2027)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- 30 април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юли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до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9" w:name="_Toc256000139"/>
      <w:r>
        <w:t>Комуникация</w:t>
      </w:r>
      <w:bookmarkEnd w:id="139"/>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9.6. Комуникации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Интернет – публикуване на констатациите от оценките на Интернет страницата на МЗХ и на Интернет страницата на ПРСР (2014-2020), както и на единния информационен портал http://www.eufunds.bg/</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40" w:name="_Toc256000140"/>
      <w:r>
        <w:t>Ресурси</w:t>
      </w:r>
      <w:bookmarkEnd w:id="14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9.7.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Човешки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ИТ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1" w:name="_Toc256000141"/>
      <w:r>
        <w:t>Финансов план</w:t>
      </w:r>
      <w:bookmarkEnd w:id="141"/>
    </w:p>
    <w:p>
      <w:pPr>
        <w:pStyle w:val="Heading2"/>
      </w:pPr>
      <w:r>
        <w:t xml:space="preserve"> </w:t>
      </w:r>
      <w:bookmarkStart w:id="142" w:name="_Toc256000142"/>
      <w:r>
        <w:t>Годишно участие на ЕЗФРСР в (в евро)</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1 302 408 594,20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3" w:name="_Toc256000143"/>
      <w:r>
        <w:t>Единно процентно участие на ЕЗФРСР за всички мерки с разбивка по вид регион, съгласно посоченото в член 59, параграф 3 от Регламент (ЕС) № 1305/2013</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4" w:name="_Toc256000144"/>
      <w:r>
        <w:rPr>
          <w:b/>
        </w:rPr>
        <w:t>Разбивката по мярка или вид операция, с конкретния размер на процентното участие на ЕЗФРСР (в евро за целия период 2014 — 2020 г.)</w:t>
      </w:r>
      <w:bookmarkEnd w:id="144"/>
    </w:p>
    <w:p>
      <w:pPr>
        <w:pStyle w:val="Heading3"/>
        <w:jc w:val="left"/>
        <w:rPr>
          <w:b w:val="0"/>
        </w:rPr>
      </w:pPr>
      <w:bookmarkStart w:id="145" w:name="_Toc256000145"/>
      <w:r>
        <w:rPr>
          <w:b w:val="0"/>
        </w:rPr>
        <w:t>М01 — Трансфер на знания и действия за осведомяване (член 14)</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146" w:name="_Toc256000146"/>
      <w:r>
        <w:rPr>
          <w:b w:val="0"/>
        </w:rPr>
        <w:t>М02 —  Консултантски услуги, услуги по управление на стопанство и услуги по заместване в стопанство (член 15)</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12 431 250,00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1 126 520,00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183 222,00 (5C)</w:t>
            </w:r>
          </w:p>
          <w:p>
            <w:pPr>
              <w:jc w:val="right"/>
              <w:rPr>
                <w:b w:val="0"/>
                <w:sz w:val="16"/>
              </w:rPr>
            </w:pPr>
            <w:r>
              <w:rPr>
                <w:b w:val="0"/>
                <w:sz w:val="16"/>
              </w:rPr>
              <w:t>243 015,00 (5D)</w:t>
            </w:r>
          </w:p>
          <w:p>
            <w:pPr>
              <w:jc w:val="right"/>
              <w:rPr>
                <w:b w:val="0"/>
                <w:sz w:val="16"/>
              </w:rPr>
            </w:pPr>
            <w:r>
              <w:rPr>
                <w:b w:val="0"/>
                <w:sz w:val="16"/>
              </w:rPr>
              <w:t>235 875,00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147" w:name="_Toc256000147"/>
      <w:r>
        <w:rPr>
          <w:b w:val="0"/>
        </w:rPr>
        <w:t>M04 — Инвестиции в материални активи (член 17)</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17 850 000,00 (2B)</w:t>
            </w:r>
          </w:p>
          <w:p>
            <w:pPr>
              <w:jc w:val="right"/>
              <w:rPr>
                <w:b w:val="0"/>
                <w:sz w:val="16"/>
              </w:rPr>
            </w:pPr>
            <w:r>
              <w:rPr>
                <w:b w:val="0"/>
                <w:sz w:val="16"/>
              </w:rPr>
              <w:t>163 116 255,00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118 618 090,00 (P4)</w:t>
            </w:r>
          </w:p>
          <w:p>
            <w:pPr>
              <w:jc w:val="right"/>
              <w:rPr>
                <w:b w:val="0"/>
                <w:sz w:val="16"/>
              </w:rPr>
            </w:pPr>
            <w:r>
              <w:rPr>
                <w:b w:val="0"/>
                <w:sz w:val="16"/>
              </w:rPr>
              <w:t>74 974 395,00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347 424 185,00</w:t>
            </w:r>
          </w:p>
        </w:tc>
      </w:tr>
    </w:tbl>
    <w:p>
      <w:pPr>
        <w:pStyle w:val="Heading3"/>
        <w:jc w:val="left"/>
        <w:rPr>
          <w:b w:val="0"/>
        </w:rPr>
      </w:pPr>
      <w:r>
        <w:rPr>
          <w:b/>
        </w:rPr>
        <w:br w:type="page"/>
      </w:r>
      <w:bookmarkStart w:id="148" w:name="_Toc256000148"/>
      <w:r>
        <w:rPr>
          <w:b w:val="0"/>
        </w:rPr>
        <w:t>M06 — Развитие на стопанства и предприятия (член 19)</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149" w:name="_Toc256000149"/>
      <w:r>
        <w:rPr>
          <w:b w:val="0"/>
        </w:rPr>
        <w:t>М07 — Основни услуги и обновяване на селата в селските райони (член 20)</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50" w:name="_Toc256000150"/>
      <w:r>
        <w:rPr>
          <w:b w:val="0"/>
        </w:rPr>
        <w:t>М08 — Инвестиции в развитие на горските райони и подобряване на жизнеспособността на горите (членове 21 — 26)</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151" w:name="_Toc256000151"/>
      <w:r>
        <w:rPr>
          <w:b w:val="0"/>
        </w:rPr>
        <w:t>M09 — Създаване на групи и организации на производителите (член 27)</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152" w:name="_Toc256000152"/>
      <w:r>
        <w:rPr>
          <w:b w:val="0"/>
        </w:rPr>
        <w:t>M10 — Агроекология и климат (член 28)</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161 510 002,00 (P4)</w:t>
            </w:r>
          </w:p>
          <w:p>
            <w:pPr>
              <w:jc w:val="right"/>
              <w:rPr>
                <w:b w:val="0"/>
                <w:sz w:val="16"/>
              </w:rPr>
            </w:pPr>
            <w:r>
              <w:rPr>
                <w:b w:val="0"/>
                <w:sz w:val="16"/>
              </w:rPr>
              <w:t>6 000 000,00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3" w:name="_Toc256000153"/>
      <w:r>
        <w:rPr>
          <w:b w:val="0"/>
        </w:rPr>
        <w:t>М11 — Биологично земеделие (член 29)</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154" w:name="_Toc256000154"/>
      <w:r>
        <w:rPr>
          <w:b w:val="0"/>
        </w:rPr>
        <w:t>M12 — Плащания по „Натура 2000“ и Рамковата директива за водите (член 30)</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0,00</w:t>
            </w:r>
          </w:p>
        </w:tc>
      </w:tr>
    </w:tbl>
    <w:p>
      <w:pPr>
        <w:pStyle w:val="Heading3"/>
        <w:jc w:val="left"/>
        <w:rPr>
          <w:b w:val="0"/>
        </w:rPr>
      </w:pPr>
      <w:r>
        <w:rPr>
          <w:b/>
        </w:rPr>
        <w:br w:type="page"/>
      </w:r>
      <w:bookmarkStart w:id="155" w:name="_Toc256000155"/>
      <w:r>
        <w:rPr>
          <w:b w:val="0"/>
        </w:rPr>
        <w:t>М13 — Плащания за райони, изправени пред природни или други специфични ограничения (член 31)</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156" w:name="_Toc256000156"/>
      <w:r>
        <w:rPr>
          <w:b w:val="0"/>
        </w:rPr>
        <w:t>M14 — Хуманно отношение към животните (член 33)</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157" w:name="_Toc256000157"/>
      <w:r>
        <w:rPr>
          <w:b w:val="0"/>
        </w:rPr>
        <w:t>М15 — Екологични услуги и услуги във връзка с климата в горското стопанство и опазване на горите (член 34)</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158" w:name="_Toc256000158"/>
      <w:r>
        <w:rPr>
          <w:b w:val="0"/>
        </w:rPr>
        <w:t>M16 — Сътрудничество (член 35)</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159" w:name="_Toc256000159"/>
      <w:r>
        <w:rPr>
          <w:b w:val="0"/>
        </w:rPr>
        <w:t>M19 — Подкрепа за местно развитие по LEADER (ВОМР — водено от общностите местно развитие) (член 35 от Регламент (ЕС) № 1303/2013)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160" w:name="_Toc256000160"/>
      <w:r>
        <w:rPr>
          <w:b w:val="0"/>
        </w:rPr>
        <w:t>М20 — Техническа помощ държави членки (членове 51 — 54)</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61" w:name="_Toc256000161"/>
      <w:r>
        <w:t>Ориентировъчна разбивка по мярка за всяка подпрограма</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2" w:name="_Toc256000162"/>
      <w:r>
        <w:t>План на показателите</w:t>
      </w:r>
      <w:bookmarkEnd w:id="162"/>
    </w:p>
    <w:p>
      <w:pPr>
        <w:pStyle w:val="Heading2"/>
      </w:pPr>
      <w:bookmarkStart w:id="163" w:name="_Toc256000163"/>
      <w:r>
        <w:t>План на показателите</w:t>
      </w:r>
      <w:bookmarkEnd w:id="163"/>
    </w:p>
    <w:p>
      <w:pPr>
        <w:pStyle w:val="Heading3"/>
        <w:jc w:val="left"/>
        <w:rPr>
          <w:b w:val="0"/>
        </w:rPr>
      </w:pPr>
      <w:bookmarkStart w:id="164" w:name="_Toc256000164"/>
      <w:r>
        <w:rPr>
          <w:b w:val="0"/>
        </w:rPr>
        <w:t>P1: Стимулиране на трансфера на знания и иновациите в областта на селското и горското стопанство и селските райони</w:t>
      </w:r>
      <w:bookmarkEnd w:id="164"/>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разходи (област с поставен акцент 1А)</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5" w:name="_Toc25600016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5"/>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14 625 000,00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21 000 000,00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6" w:name="_Toc25600016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6"/>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1 555,00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380 994 417,70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191 901 476,50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167" w:name="_Toc256000167"/>
      <w:r>
        <w:rPr>
          <w:b w:val="0"/>
        </w:rPr>
        <w:t>P4: Възстановяване, опазване и укрепване на екосистемите, свързани със селското и горското стопанство</w:t>
      </w:r>
      <w:bookmarkEnd w:id="167"/>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1 325 318,00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258 084 643,30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158 157 452,70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215 346 669,30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8" w:name="_Toc25600016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8"/>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49,78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215 555,30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277 500,00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9" w:name="_Toc256000169"/>
      <w:r>
        <w:rPr>
          <w:b w:val="0"/>
        </w:rPr>
        <w:t>P6: Насърчаване на социалното приобщаване, намаляването на бедността и икономическото развитие в селските райони</w:t>
      </w:r>
      <w:bookmarkEnd w:id="169"/>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specific rural definition used for targets T21; T22 and T24 (if relevant)</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4 766 442,20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90 163 875,60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30 053 958,90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specific rural definition used for targets T21; T22 and T24 (if relevant)</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0" w:name="_Toc256000170"/>
      <w:r>
        <w:t>Преглед на планираното изпълнение и на планираните разходи по мерки и по области с поставен акцент (генериран автоматично)</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07"/>
        <w:gridCol w:w="1535"/>
        <w:gridCol w:w="931"/>
        <w:gridCol w:w="873"/>
        <w:gridCol w:w="787"/>
        <w:gridCol w:w="931"/>
        <w:gridCol w:w="643"/>
        <w:gridCol w:w="456"/>
        <w:gridCol w:w="448"/>
        <w:gridCol w:w="448"/>
        <w:gridCol w:w="815"/>
        <w:gridCol w:w="931"/>
        <w:gridCol w:w="873"/>
        <w:gridCol w:w="873"/>
        <w:gridCol w:w="815"/>
        <w:gridCol w:w="931"/>
        <w:gridCol w:w="931"/>
        <w:gridCol w:w="787"/>
        <w:gridCol w:w="101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14,625,000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1,325,318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215,555.3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285,900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277,500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380,994,417.7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258,084,643.3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1,380,768,806.9</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191,901,476.5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158,157,452.7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840,853,118.5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215,346,669.3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r>
    </w:tbl>
    <w:p>
      <w:pPr>
        <w:sectPr>
          <w:pgSz w:w="15840" w:h="12240" w:orient="landscape"/>
          <w:pgMar w:top="900" w:right="46" w:bottom="900" w:left="46" w:header="720" w:footer="720"/>
          <w:cols w:space="720"/>
        </w:sectPr>
      </w:pPr>
    </w:p>
    <w:p>
      <w:pPr>
        <w:pStyle w:val="Heading2"/>
      </w:pPr>
      <w:bookmarkStart w:id="171" w:name="_Toc256000171"/>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2" w:name="_Toc256000172"/>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2"/>
    </w:p>
    <w:p>
      <w:pPr>
        <w:pStyle w:val="Heading3"/>
        <w:jc w:val="left"/>
        <w:rPr>
          <w:b w:val="0"/>
        </w:rPr>
      </w:pPr>
      <w:r>
        <w:rPr>
          <w:b w:val="0"/>
        </w:rPr>
        <w:t xml:space="preserve"> </w:t>
      </w:r>
      <w:bookmarkStart w:id="173" w:name="_Toc256000173"/>
      <w:r>
        <w:rPr>
          <w:b w:val="0"/>
        </w:rPr>
        <w:t>Земеделска земя</w:t>
      </w:r>
      <w:bookmarkEnd w:id="173"/>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72 420 000,00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4" w:name="_Toc256000174"/>
      <w:r>
        <w:rPr>
          <w:b w:val="0"/>
        </w:rPr>
        <w:t>Горски площи</w:t>
      </w:r>
      <w:bookmarkEnd w:id="174"/>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5" w:name="_Toc256000175"/>
      <w:r>
        <w:t>Специфични за програмата цел и изпълнение</w:t>
      </w:r>
      <w:bookmarkEnd w:id="175"/>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6" w:name="_Toc256000176"/>
      <w:r>
        <w:t>Допълнително национално финансиране</w:t>
      </w:r>
      <w:bookmarkEnd w:id="176"/>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7" w:name="_Toc256000177"/>
      <w:r>
        <w:rPr>
          <w:b/>
          <w:i w:val="0"/>
        </w:rPr>
        <w:t>М01 — Трансфер на знания и действия за осведомяване (член 14)</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8" w:name="_Toc256000178"/>
      <w:r>
        <w:rPr>
          <w:b/>
          <w:i w:val="0"/>
        </w:rPr>
        <w:t>М02 —  Консултантски услуги, услуги по управление на стопанство и услуги по заместване в стопанство (член 15)</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M04 — Инвестиции в материални активи (член 17)</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M06 — Развитие на стопанства и предприятия (член 19)</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М07 — Основни услуги и обновяване на селата в селските райони (член 20)</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М08 — Инвестиции в развитие на горските райони и подобряване на жизнеспособността на горите (членове 21 — 26)</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M09 — Създаване на групи и организации на производителите (член 27)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M10 — Агроекология и климат (член 28)</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М11 — Биологично земеделие (член 29)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M12 — Плащания по „Натура 2000“ и Рамковата директива за водите (член 30)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М13 — Плащания за райони, изправени пред природни или други специфични ограничения (член 31)</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M14 — Хуманно отношение към животните (член 33)</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М15 — Екологични услуги и услуги във връзка с климата в горското стопанство и опазване на горите (член 34)</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M16 — Сътрудничество (член 35)</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M19 — Подкрепа за местно развитие по LEADER (ВОМР — водено от общностите местно развитие) (член 35 от Регламент (ЕС) № 1303/2013)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М20 — Техническа помощ държави членки (членове 51 — 54)</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3" w:name="_Toc256000193"/>
      <w:r>
        <w:t>Елементи, необходими за оценка на държавната помощ</w:t>
      </w:r>
      <w:bookmarkEnd w:id="193"/>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21 250 000,00</w:t>
            </w:r>
          </w:p>
        </w:tc>
        <w:tc>
          <w:tcPr>
            <w:tcW w:w="650" w:type="pct"/>
            <w:shd w:val="clear" w:color="auto" w:fill="FFFFFF"/>
            <w:noWrap w:val="0"/>
            <w:tcMar>
              <w:top w:w="60" w:type="dxa"/>
            </w:tcMar>
            <w:vAlign w:val="top"/>
          </w:tcPr>
          <w:p>
            <w:pPr>
              <w:jc w:val="right"/>
              <w:rPr>
                <w:b w:val="0"/>
                <w:sz w:val="16"/>
              </w:rPr>
            </w:pPr>
            <w:r>
              <w:rPr>
                <w:b w:val="0"/>
                <w:sz w:val="16"/>
              </w:rPr>
              <w:t>3 750 000,00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596 044 724,38</w:t>
            </w:r>
          </w:p>
        </w:tc>
        <w:tc>
          <w:tcPr>
            <w:tcW w:w="650" w:type="pct"/>
            <w:shd w:val="clear" w:color="auto" w:fill="C0C0C0"/>
            <w:noWrap w:val="0"/>
            <w:tcMar>
              <w:top w:w="60" w:type="dxa"/>
            </w:tcMar>
            <w:vAlign w:val="top"/>
          </w:tcPr>
          <w:p>
            <w:pPr>
              <w:jc w:val="right"/>
              <w:rPr>
                <w:b/>
                <w:sz w:val="16"/>
              </w:rPr>
            </w:pPr>
            <w:r>
              <w:rPr>
                <w:b/>
                <w:sz w:val="16"/>
              </w:rPr>
              <w:t>100 848 605,76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696 893 330,14</w:t>
            </w:r>
          </w:p>
        </w:tc>
      </w:tr>
    </w:tbl>
    <w:p>
      <w:pPr>
        <w:rPr>
          <w:b/>
        </w:rPr>
        <w:sectPr>
          <w:pgSz w:w="15840" w:h="12240" w:orient="landscape"/>
          <w:pgMar w:top="900" w:right="900" w:bottom="900" w:left="900" w:header="720" w:footer="720"/>
          <w:cols w:space="720"/>
        </w:sectPr>
      </w:pPr>
    </w:p>
    <w:p/>
    <w:p>
      <w:pPr>
        <w:pStyle w:val="Heading2"/>
      </w:pPr>
      <w:bookmarkStart w:id="194" w:name="_Toc256000194"/>
      <w:r>
        <w:t>М01 — Трансфер на знания и действия за осведомяване (член 14)</w:t>
      </w:r>
      <w:bookmarkEnd w:id="194"/>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5" w:name="_Toc256000195"/>
      <w:r>
        <w:t>М02 —  Консултантски услуги, услуги по управление на стопанство и услуги по заместване в стопанство (член 15)</w:t>
      </w:r>
      <w:bookmarkEnd w:id="195"/>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6" w:name="_Toc256000196"/>
      <w:r>
        <w:t>М02 —  Консултантски услуги, услуги по управление на стопанство и услуги по заместване в стопанство (член 15)</w:t>
      </w:r>
      <w:bookmarkEnd w:id="196"/>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7" w:name="_Toc256000197"/>
      <w:r>
        <w:t>M04 — Инвестиции в материални активи (член 17)</w:t>
      </w:r>
      <w:bookmarkEnd w:id="197"/>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21 250 000,00</w:t>
      </w:r>
    </w:p>
    <w:p>
      <w:r>
        <w:t xml:space="preserve">Национално съфинансиране (в евро): </w:t>
      </w:r>
      <w:r>
        <w:t>3 750 000,00</w:t>
      </w:r>
    </w:p>
    <w:p>
      <w:r>
        <w:t xml:space="preserve">Допълнително национално финансиране (в евро): </w:t>
      </w:r>
    </w:p>
    <w:p>
      <w:r>
        <w:t xml:space="preserve">Общо (в EUR): </w:t>
      </w:r>
      <w:r>
        <w:t>25 000 000,00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ще се предоставя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8" w:name="_Toc256000198"/>
      <w:r>
        <w:t>M06 — Развитие на стопанства и предприятия (член 19)</w:t>
      </w:r>
      <w:bookmarkEnd w:id="198"/>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9" w:name="_Toc256000199"/>
      <w:r>
        <w:t>М07 — Основни услуги и обновяване на селата в селските райони (член 20)</w:t>
      </w:r>
      <w:bookmarkEnd w:id="199"/>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0" w:name="_Toc256000200"/>
      <w:r>
        <w:t>М07 — Основни услуги и обновяване на селата в селските райони (член 20)</w:t>
      </w:r>
      <w:bookmarkEnd w:id="200"/>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1" w:name="_Toc256000201"/>
      <w:r>
        <w:t>М07 — Основни услуги и обновяване на селата в селските райони (член 20)</w:t>
      </w:r>
      <w:bookmarkEnd w:id="201"/>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2" w:name="_Toc256000202"/>
      <w:r>
        <w:t>М08 — Инвестиции в развитие на горските райони и подобряване на жизнеспособността на горите (членове 21 — 26)</w:t>
      </w:r>
      <w:bookmarkEnd w:id="202"/>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3" w:name="_Toc256000203"/>
      <w:r>
        <w:t>М08 — Инвестиции в развитие на горските райони и подобряване на жизнеспособността на горите (членове 21 — 26)</w:t>
      </w:r>
      <w:bookmarkEnd w:id="203"/>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4" w:name="_Toc256000204"/>
      <w:r>
        <w:t>М08 — Инвестиции в развитие на горските райони и подобряване на жизнеспособността на горите (членове 21 — 26)</w:t>
      </w:r>
      <w:bookmarkEnd w:id="204"/>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5" w:name="_Toc256000205"/>
      <w:r>
        <w:t>М08 — Инвестиции в развитие на горските райони и подобряване на жизнеспособността на горите (членове 21 — 26)</w:t>
      </w:r>
      <w:bookmarkEnd w:id="205"/>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6" w:name="_Toc256000206"/>
      <w:r>
        <w:t>M09 — Създаване на групи и организации на производителите (член 27)</w:t>
      </w:r>
      <w:bookmarkEnd w:id="20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7" w:name="_Toc256000207"/>
      <w:r>
        <w:t>M10 — Агроекология и климат (член 28)</w:t>
      </w:r>
      <w:bookmarkEnd w:id="20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8" w:name="_Toc256000208"/>
      <w:r>
        <w:t>М11 — Биологично земеделие (член 29)</w:t>
      </w:r>
      <w:bookmarkEnd w:id="20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9" w:name="_Toc256000209"/>
      <w:r>
        <w:t>M12 — Плащания по „Натура 2000“ и Рамковата директива за водите (член 30)</w:t>
      </w:r>
      <w:bookmarkEnd w:id="209"/>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0" w:name="_Toc256000210"/>
      <w:r>
        <w:t>М13 — Плащания за райони, изправени пред природни или други специфични ограничения (член 31)</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1" w:name="_Toc256000211"/>
      <w:r>
        <w:t>M14 — Хуманно отношение към животните (член 33)</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2" w:name="_Toc256000212"/>
      <w:r>
        <w:t>М15 — Екологични услуги и услуги във връзка с климата в горското стопанство и опазване на горите (член 34)</w:t>
      </w:r>
      <w:bookmarkEnd w:id="212"/>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3" w:name="_Toc256000213"/>
      <w:r>
        <w:t>M16 — Сътрудничество (член 35)</w:t>
      </w:r>
      <w:bookmarkEnd w:id="213"/>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4" w:name="_Toc256000214"/>
      <w:r>
        <w:t>M16 — Сътрудничество (член 35)</w:t>
      </w:r>
      <w:bookmarkEnd w:id="214"/>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5" w:name="_Toc256000215"/>
      <w:r>
        <w:t>M19 — Подкрепа за местно развитие по LEADER (ВОМР — водено от общностите местно развитие) (член 35 от Регламент (ЕС) № 1303/2013)</w:t>
      </w:r>
      <w:bookmarkEnd w:id="215"/>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6" w:name="_Toc256000216"/>
      <w:r>
        <w:t>Информация относно взаимното допълване</w:t>
      </w:r>
      <w:bookmarkEnd w:id="216"/>
    </w:p>
    <w:p>
      <w:pPr>
        <w:pStyle w:val="Heading2"/>
      </w:pPr>
      <w:bookmarkStart w:id="217" w:name="_Toc256000217"/>
      <w:r>
        <w:t>Описание на средствата за осигуряване на допълняемост и съгласуваност със:</w:t>
      </w:r>
      <w:bookmarkEnd w:id="217"/>
      <w:r>
        <w:t xml:space="preserve"> </w:t>
      </w:r>
    </w:p>
    <w:p>
      <w:pPr>
        <w:pStyle w:val="Heading3"/>
        <w:jc w:val="left"/>
        <w:rPr>
          <w:b w:val="0"/>
        </w:rPr>
      </w:pPr>
      <w:bookmarkStart w:id="218" w:name="_Toc256000218"/>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„Наука и образование за интелигентен растеж“</w:t>
            </w:r>
            <w:r>
              <w:rPr>
                <w:rStyle w:val="DefaultParagraphFont"/>
                <w:rFonts w:ascii="Times New Roman" w:eastAsia="Times New Roman" w:hAnsi="Times New Roman" w:cs="Times New Roman"/>
                <w:b/>
                <w:bCs/>
                <w:szCs w:val="24"/>
              </w:rPr>
              <w:t xml:space="preserve"> (ОП 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Изследователска дейност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Оперативна </w:t>
            </w:r>
            <w:r>
              <w:rPr>
                <w:rStyle w:val="DefaultParagraphFont"/>
                <w:rFonts w:ascii="Times New Roman" w:eastAsia="Times New Roman" w:hAnsi="Times New Roman" w:cs="Times New Roman"/>
                <w:b/>
                <w:bCs/>
                <w:szCs w:val="24"/>
              </w:rPr>
              <w:t>програма Региони в растеж</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 xml:space="preserve">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Подкрепата за </w:t>
            </w:r>
            <w:r>
              <w:rPr>
                <w:rStyle w:val="DefaultParagraphFont"/>
                <w:rFonts w:ascii="Times New Roman" w:eastAsia="Times New Roman" w:hAnsi="Times New Roman" w:cs="Times New Roman"/>
                <w:b/>
                <w:bCs/>
                <w:szCs w:val="24"/>
              </w:rPr>
              <w:t xml:space="preserve">иновации </w:t>
            </w:r>
            <w:r>
              <w:rPr>
                <w:rStyle w:val="DefaultParagraphFont"/>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подкрепата за МСП и стартиращи предприятия</w:t>
            </w:r>
            <w:r>
              <w:rPr>
                <w:rStyle w:val="DefaultParagraphFont"/>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енергийната ефективност</w:t>
            </w:r>
            <w:r>
              <w:rPr>
                <w:rStyle w:val="DefaultParagraphFont"/>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„Околна среда“ (ОПОС)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„Добро управление“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 “Морско дело и рибарство”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„Плодове и зеленчуци“</w:t>
            </w:r>
            <w:r>
              <w:rPr>
                <w:rStyle w:val="DefaultParagraphFont"/>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„Вино“</w:t>
            </w:r>
            <w:r>
              <w:rPr>
                <w:rStyle w:val="DefaultParagraphFont"/>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„Пчеларство“</w:t>
            </w:r>
            <w:r>
              <w:rPr>
                <w:rStyle w:val="DefaultParagraphFont"/>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Инвестиционни дейности няма да бъдат подпомагани в </w:t>
            </w:r>
            <w:r>
              <w:rPr>
                <w:rStyle w:val="DefaultParagraphFont"/>
                <w:rFonts w:ascii="Times New Roman" w:eastAsia="Times New Roman" w:hAnsi="Times New Roman" w:cs="Times New Roman"/>
                <w:i/>
                <w:iCs/>
                <w:szCs w:val="24"/>
              </w:rPr>
              <w:t>сектор „Тютюн“.</w:t>
            </w:r>
            <w:r>
              <w:rPr>
                <w:rStyle w:val="DefaultParagraphFont"/>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Производството, преработката и маркетинга на </w:t>
            </w:r>
            <w:r>
              <w:rPr>
                <w:rStyle w:val="DefaultParagraphFont"/>
                <w:rFonts w:ascii="Times New Roman" w:eastAsia="Times New Roman" w:hAnsi="Times New Roman" w:cs="Times New Roman"/>
                <w:i/>
                <w:iCs/>
                <w:szCs w:val="24"/>
              </w:rPr>
              <w:t>зехтин</w:t>
            </w:r>
            <w:r>
              <w:rPr>
                <w:rStyle w:val="DefaultParagraphFont"/>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Style w:val="DefaultParagraphFont"/>
                <w:rFonts w:ascii="Times New Roman" w:eastAsia="Times New Roman" w:hAnsi="Times New Roman" w:cs="Times New Roman"/>
                <w:i/>
                <w:iCs/>
                <w:szCs w:val="24"/>
              </w:rPr>
              <w:t>захар и/или сладкарски изделия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Мерките в </w:t>
            </w:r>
            <w:r>
              <w:rPr>
                <w:rStyle w:val="DefaultParagraphFont"/>
                <w:rFonts w:ascii="Times New Roman" w:eastAsia="Times New Roman" w:hAnsi="Times New Roman" w:cs="Times New Roman"/>
                <w:b/>
                <w:bCs/>
                <w:szCs w:val="24"/>
              </w:rPr>
              <w:t>Първи и Втори стълб на ОСП</w:t>
            </w:r>
            <w:r>
              <w:rPr>
                <w:rStyle w:val="DefaultParagraphFont"/>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младите фермери</w:t>
            </w:r>
            <w:r>
              <w:rPr>
                <w:rStyle w:val="DefaultParagraphFont"/>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схемата за малките стопанства</w:t>
            </w:r>
            <w:r>
              <w:rPr>
                <w:rStyle w:val="DefaultParagraphFont"/>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r>
              <w:rPr>
                <w:rStyle w:val="DefaultParagraphFont"/>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9" w:name="_Toc256000219"/>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0" w:name="_Toc256000220"/>
      <w:r>
        <w:rPr>
          <w:b w:val="0"/>
        </w:rPr>
        <w:t>Когато е целесъобразно, информация за взаимното допълване с други финансови инструменти на Съюза, включително програма LIFE</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ПС ИНТЕРРЕГ ЕВРОПА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ОП „УРБАКТ III”</w:t>
            </w:r>
            <w:r>
              <w:rPr>
                <w:rStyle w:val="DefaultParagraphFont"/>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Style w:val="DefaultParagraphFont"/>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Style w:val="DefaultParagraphFont"/>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1" w:name="_Toc256000221"/>
      <w:r>
        <w:t>Организация за изпълнението на програмата</w:t>
      </w:r>
      <w:bookmarkEnd w:id="221"/>
    </w:p>
    <w:p>
      <w:pPr>
        <w:pStyle w:val="Heading2"/>
      </w:pPr>
      <w:bookmarkStart w:id="222" w:name="_Toc256000222"/>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2"/>
    </w:p>
    <w:p>
      <w:pPr>
        <w:pStyle w:val="Heading3"/>
        <w:jc w:val="left"/>
        <w:rPr>
          <w:b w:val="0"/>
        </w:rPr>
      </w:pPr>
      <w:bookmarkStart w:id="223" w:name="_Toc256000223"/>
      <w:r>
        <w:rPr>
          <w:b w:val="0"/>
        </w:rPr>
        <w:t>Органи</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0"/>
        <w:gridCol w:w="2000"/>
        <w:gridCol w:w="1839"/>
        <w:gridCol w:w="1780"/>
        <w:gridCol w:w="30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Ръководител на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и храните.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В процес на избор на изпълнител.</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dsimeonov@mzh.government.bg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4" w:name="_Toc256000224"/>
      <w:r>
        <w:rPr>
          <w:b w:val="0"/>
        </w:rPr>
        <w:t>Кратко описание на структурата за управление и контрол на програмата и на процедурите за независимо разглеждане на жалби</w:t>
      </w:r>
      <w:bookmarkEnd w:id="224"/>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Управляващ орган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“Развитие на селските райони” в Министерство на земеделието и храните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Style w:val="DefaultParagraphFont"/>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Органиграма на УО е в Приложение 4 към Раздел 15.1.</w:t>
            </w:r>
          </w:p>
          <w:p>
            <w:pPr>
              <w:numPr>
                <w:ilvl w:val="0"/>
                <w:numId w:val="50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Разплащателна агенция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0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извършени проверките, предвидени в законодателството на ЕС;</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представени в срок изискуемите документи;</w:t>
            </w:r>
          </w:p>
          <w:p>
            <w:pPr>
              <w:numPr>
                <w:ilvl w:val="0"/>
                <w:numId w:val="5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нормативно регламентирани проверки. Изключения правят мерките, за които се вземе решение за прилагане по децентрализиран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0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Структури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РА </w:t>
            </w:r>
            <w:r>
              <w:rPr>
                <w:rStyle w:val="DefaultParagraphFont"/>
                <w:rFonts w:ascii="Times New Roman" w:eastAsia="Times New Roman" w:hAnsi="Times New Roman" w:cs="Times New Roman"/>
                <w:szCs w:val="24"/>
              </w:rPr>
              <w:t xml:space="preserve">извършва </w:t>
            </w:r>
            <w:r>
              <w:rPr>
                <w:rStyle w:val="DefaultParagraphFont"/>
                <w:rFonts w:ascii="Times New Roman" w:eastAsia="Times New Roman" w:hAnsi="Times New Roman" w:cs="Times New Roman"/>
                <w:b/>
                <w:bCs/>
                <w:szCs w:val="24"/>
              </w:rPr>
              <w:t>административен контрол</w:t>
            </w:r>
            <w:r>
              <w:rPr>
                <w:rStyle w:val="DefaultParagraphFont"/>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Style w:val="DefaultParagraphFont"/>
                <w:rFonts w:ascii="Times New Roman" w:eastAsia="Times New Roman" w:hAnsi="Times New Roman" w:cs="Times New Roman"/>
                <w:b/>
                <w:bCs/>
                <w:szCs w:val="24"/>
              </w:rPr>
              <w:t>административни проверки</w:t>
            </w:r>
            <w:r>
              <w:rPr>
                <w:rStyle w:val="DefaultParagraphFont"/>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Style w:val="DefaultParagraphFont"/>
                <w:rFonts w:ascii="Times New Roman" w:eastAsia="Times New Roman" w:hAnsi="Times New Roman" w:cs="Times New Roman"/>
                <w:b/>
                <w:bCs/>
                <w:szCs w:val="24"/>
              </w:rPr>
              <w:t>проверки на място</w:t>
            </w:r>
            <w:r>
              <w:rPr>
                <w:rStyle w:val="DefaultParagraphFont"/>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Сертифициращ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МЗХ е стартирана процедура за избор на изпълнител, който ще изпълнява функциите на Сертифициращ орган, в съответствие с чл.9 от Регламент (EC)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Централно координационно звено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МЕХАНИЗЪМ ЗА РАЗГЛЕЖДАНЕ НА ЖАЛБИ ВЪВ ВРЪЗКА С ЧЛ. 74, Т. 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Административно процесуалния кодекс (АПК) е нормативния акт, които урежда реда на обжалване на административни актове, с които РА или МЗХ одобряват или отхвърлят заявките за подпомагане по ПРСР 2007-2013 г. и ПРСР 2014-2020 г. Създадени са две възможности за обжалване на издадените актове във връзка с предоставяне на финансовата помощ по ПРСР: пред по-горестоящ административен орган и по съдебен ред.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действащият в момента Закон за подпомагане на земеделските производители, чл. 29, ал.3 министъра на земеделието и храните е по-горестоящ спрямо решението на ДФЗ-РА за пълен или частичен отказ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25, ал. 4 от Закона за администрацията, чл. 29, ал. 3 от Закона за подпомагане на земеделските производители, чл. 2, ал. 3 от Закона за прилагане на общата организация на пазарите на земеделските продукти на Европейския съюз и чл. 6, ал. 2 от Закона за рибарството и аквакултурите е сформирана комисия за разглеждане на жалби на бенефициенти по ПРСР 2014-2020 г. При постъпване на конкретна жалба в МЗХ, тя се разпределя към дирекция „Административно и правно обслужване“. Комисия назначена със заповед на министъра на земеделието и храните РД 09-45/23.01.2015 г. с председател директора на дирекция АПО и състав от експерти служители на МЗХ разглежда жалбата. В случай, че жалбата засяга въпрос свързан с ПРСР 2014-2020 г. се изисква писмено становище на експерт от УО в срок от 5 дни. Становището на експерта от УО се докладва и разглежда от Комисията на присъствено заседание. Въз основа на решението на Комисията, членовете на Комисията от дирекция АПО изготвят проекти на актове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възможност пред бенефициентите е да обжалват директно по съдебен ред.</w:t>
            </w:r>
          </w:p>
          <w:p>
            <w:pPr>
              <w:pStyle w:val="BodyText"/>
              <w:jc w:val="both"/>
              <w:rPr>
                <w:b w:val="0"/>
              </w:rPr>
            </w:pPr>
          </w:p>
        </w:tc>
      </w:tr>
    </w:tbl>
    <w:p>
      <w:pPr>
        <w:pStyle w:val="Heading2"/>
        <w:rPr>
          <w:b w:val="0"/>
        </w:rPr>
      </w:pPr>
      <w:bookmarkStart w:id="225" w:name="_Toc256000225"/>
      <w:r>
        <w:rPr>
          <w:b w:val="0"/>
        </w:rPr>
        <w:t>Предлаган състав на мониторинговия комитет</w:t>
      </w:r>
      <w:bookmarkEnd w:id="2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 74 от Регламент (EC) № 1305/2013, КН:</w:t>
            </w:r>
          </w:p>
          <w:p>
            <w:pPr>
              <w:numPr>
                <w:ilvl w:val="0"/>
                <w:numId w:val="5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Академичната общност;</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6" w:name="_Toc256000226"/>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Style w:val="DefaultParagraphFont"/>
                <w:rFonts w:ascii="Times New Roman" w:eastAsia="Times New Roman" w:hAnsi="Times New Roman" w:cs="Times New Roman"/>
                <w:i/>
                <w:iCs/>
                <w:szCs w:val="24"/>
              </w:rPr>
              <w:t>информационни семинари/тематични кампании</w:t>
            </w:r>
            <w:r>
              <w:rPr>
                <w:rStyle w:val="DefaultParagraphFont"/>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Style w:val="DefaultParagraphFont"/>
                <w:rFonts w:ascii="Times New Roman" w:eastAsia="Times New Roman" w:hAnsi="Times New Roman" w:cs="Times New Roman"/>
                <w:i/>
                <w:iCs/>
                <w:szCs w:val="24"/>
              </w:rPr>
              <w:t>рекламно-информационни материали</w:t>
            </w:r>
            <w:r>
              <w:rPr>
                <w:rStyle w:val="DefaultParagraphFont"/>
                <w:rFonts w:ascii="Times New Roman" w:eastAsia="Times New Roman" w:hAnsi="Times New Roman" w:cs="Times New Roman"/>
                <w:szCs w:val="24"/>
              </w:rPr>
              <w:t xml:space="preserve"> по Програмата (2007-13 г.), както и опитът от участия в </w:t>
            </w:r>
            <w:r>
              <w:rPr>
                <w:rStyle w:val="DefaultParagraphFont"/>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Style w:val="DefaultParagraphFont"/>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 на информационните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има за цел:</w:t>
            </w:r>
          </w:p>
          <w:p>
            <w:pPr>
              <w:numPr>
                <w:ilvl w:val="0"/>
                <w:numId w:val="50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0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Целеви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Информационните дейности ще осигурят </w:t>
            </w:r>
            <w:r>
              <w:rPr>
                <w:rStyle w:val="DefaultParagraphFont"/>
                <w:rFonts w:ascii="Times New Roman" w:eastAsia="Times New Roman" w:hAnsi="Times New Roman" w:cs="Times New Roman"/>
                <w:b/>
                <w:bCs/>
                <w:szCs w:val="24"/>
              </w:rPr>
              <w:t>прозрачност</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b/>
                <w:bCs/>
                <w:szCs w:val="24"/>
              </w:rPr>
              <w:t>ще информират</w:t>
            </w:r>
            <w:r>
              <w:rPr>
                <w:rStyle w:val="DefaultParagraphFont"/>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Потенциални  бенефициенти;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Образователните и научноизследователските институции;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местни и публични власти; </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Центрове, асоциации, клубове с нестопанска цел;</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Представителството на ЕС за България;</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организации;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Медии;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 изследователи;</w:t>
            </w:r>
          </w:p>
          <w:p>
            <w:pPr>
              <w:numPr>
                <w:ilvl w:val="0"/>
                <w:numId w:val="5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Широката общественост;</w:t>
            </w:r>
          </w:p>
          <w:p>
            <w:pPr>
              <w:numPr>
                <w:ilvl w:val="0"/>
                <w:numId w:val="5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УО на ОП прилагащи ЕСИФ.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Индикативен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Информационни дейности и фази на Комуникационния план</w:t>
            </w:r>
          </w:p>
          <w:p>
            <w:pPr>
              <w:numPr>
                <w:ilvl w:val="0"/>
                <w:numId w:val="50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Информационн</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b/>
                <w:bCs/>
                <w:i/>
                <w:iCs/>
                <w:szCs w:val="24"/>
              </w:rPr>
              <w:t xml:space="preserve">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Този документът, ще регламентира:</w:t>
            </w:r>
          </w:p>
          <w:p>
            <w:pPr>
              <w:numPr>
                <w:ilvl w:val="0"/>
                <w:numId w:val="5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реда за прилагане на конкретните мерки от ПРСР (2014-2020 г.);</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сектори;</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инвестиции;</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финансовите условия;</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на кандидатите;</w:t>
            </w:r>
          </w:p>
          <w:p>
            <w:pPr>
              <w:numPr>
                <w:ilvl w:val="0"/>
                <w:numId w:val="5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за кандидатстване и плащане на помощта, включително изискваните  придружаващи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информация под формата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Информационни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както и целият процес на кандидатстване, вкл. и препоръки за намаляване риска от грешки.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Отпечатване на информационни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i/>
                <w:iCs/>
                <w:szCs w:val="24"/>
                <w:u w:val="single"/>
              </w:rPr>
              <w:t>Информационни пунктове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Онлайн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Социални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Фази на комуникационната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Акцентът ще е насочен в подържане на информираността на бенефициентите за изискванията в наредбите към мерките, процедурите за кандидатстване и необходимия набор от  документи.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Критерии </w:t>
            </w:r>
            <w:r>
              <w:rPr>
                <w:rStyle w:val="DefaultParagraphFont"/>
                <w:rFonts w:ascii="Times New Roman" w:eastAsia="Times New Roman" w:hAnsi="Times New Roman" w:cs="Times New Roman"/>
                <w:b/>
                <w:bCs/>
                <w:i/>
                <w:iCs/>
                <w:szCs w:val="24"/>
              </w:rPr>
              <w:t xml:space="preserve">и механизъм за мониторинг и </w:t>
            </w:r>
            <w:r>
              <w:rPr>
                <w:rStyle w:val="DefaultParagraphFont"/>
                <w:rFonts w:ascii="Times New Roman" w:eastAsia="Times New Roman" w:hAnsi="Times New Roman" w:cs="Times New Roman"/>
                <w:b/>
                <w:bCs/>
                <w:i/>
                <w:iCs/>
                <w:szCs w:val="24"/>
              </w:rPr>
              <w:t xml:space="preserve">оценка на </w:t>
            </w:r>
            <w:r>
              <w:rPr>
                <w:rStyle w:val="DefaultParagraphFont"/>
                <w:rFonts w:ascii="Times New Roman" w:eastAsia="Times New Roman" w:hAnsi="Times New Roman" w:cs="Times New Roman"/>
                <w:b/>
                <w:bCs/>
                <w:i/>
                <w:iCs/>
                <w:szCs w:val="24"/>
              </w:rPr>
              <w:t xml:space="preserve">ефективността и </w:t>
            </w:r>
            <w:r>
              <w:rPr>
                <w:rStyle w:val="DefaultParagraphFont"/>
                <w:rFonts w:ascii="Times New Roman" w:eastAsia="Times New Roman" w:hAnsi="Times New Roman" w:cs="Times New Roman"/>
                <w:b/>
                <w:bCs/>
                <w:i/>
                <w:iCs/>
                <w:szCs w:val="24"/>
              </w:rPr>
              <w:t>въздействието на информационните и публични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УO ще е отговорен за общото прилагане на Комуникационния план. Агенциите и службите на МЗХ,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Задължения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7" w:name="_Toc256000227"/>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механизъм за съгласуваност между отделните фондове е включен в нормативния акт за координация и прилагане на подхода ВОМР.</w:t>
            </w:r>
          </w:p>
          <w:p>
            <w:pPr>
              <w:pStyle w:val="BodyText"/>
              <w:jc w:val="both"/>
              <w:rPr>
                <w:b w:val="0"/>
              </w:rPr>
            </w:pPr>
          </w:p>
        </w:tc>
      </w:tr>
    </w:tbl>
    <w:p>
      <w:pPr>
        <w:pStyle w:val="Heading2"/>
        <w:rPr>
          <w:b w:val="0"/>
        </w:rPr>
      </w:pPr>
      <w:bookmarkStart w:id="228" w:name="_Toc256000228"/>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1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Документи и документооборот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Разписване на точни, ясни и лесно приложими разпоредби в нормативна уредба, с цел облекчаване на тяхното прилагане от страна на бенефициентите.</w:t>
            </w:r>
          </w:p>
          <w:p>
            <w:pPr>
              <w:numPr>
                <w:ilvl w:val="0"/>
                <w:numId w:val="5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разпоредби в националното законодателство 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1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проектни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1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Оценка на проектни предложения, предоставяне на </w:t>
            </w:r>
            <w:r>
              <w:rPr>
                <w:rStyle w:val="DefaultParagraphFont"/>
                <w:rFonts w:ascii="Times New Roman" w:eastAsia="Times New Roman" w:hAnsi="Times New Roman" w:cs="Times New Roman"/>
                <w:b/>
                <w:bCs/>
                <w:szCs w:val="24"/>
              </w:rPr>
              <w:t>финансова помощ</w:t>
            </w:r>
            <w:r>
              <w:rPr>
                <w:rStyle w:val="DefaultParagraphFont"/>
                <w:rFonts w:ascii="Times New Roman" w:eastAsia="Times New Roman" w:hAnsi="Times New Roman" w:cs="Times New Roman"/>
                <w:b/>
                <w:bCs/>
                <w:szCs w:val="24"/>
              </w:rPr>
              <w:t xml:space="preserve"> и изпълнение на проекти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1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Процедури за избор на изпълнител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2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Верификация</w:t>
            </w:r>
            <w:r>
              <w:rPr>
                <w:rStyle w:val="DefaultParagraphFont"/>
                <w:rFonts w:ascii="Times New Roman" w:eastAsia="Times New Roman" w:hAnsi="Times New Roman" w:cs="Times New Roman"/>
                <w:b/>
                <w:bCs/>
                <w:szCs w:val="24"/>
              </w:rPr>
              <w:t xml:space="preserve"> на разходите</w:t>
            </w:r>
            <w:r>
              <w:rPr>
                <w:rStyle w:val="DefaultParagraphFont"/>
                <w:rFonts w:ascii="Times New Roman" w:eastAsia="Times New Roman" w:hAnsi="Times New Roman" w:cs="Times New Roman"/>
                <w:b/>
                <w:bCs/>
                <w:szCs w:val="24"/>
              </w:rPr>
              <w:t xml:space="preserve"> и плащания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Контрол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9" w:name="_Toc256000229"/>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Style w:val="DefaultParagraphFont"/>
                <w:rFonts w:ascii="Times New Roman" w:eastAsia="Times New Roman" w:hAnsi="Times New Roman" w:cs="Times New Roman"/>
                <w:i/>
                <w:iCs/>
                <w:szCs w:val="24"/>
              </w:rPr>
              <w:t>Приложение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подпомагани следните дейности:</w:t>
            </w:r>
          </w:p>
          <w:p>
            <w:pPr>
              <w:numPr>
                <w:ilvl w:val="0"/>
                <w:numId w:val="52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2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 и РА членове на комисиите.</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оценките, описани в Раздел 9.  </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2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25"/>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2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2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създаване и функциониране на НСМ след 31.12.2015 г.</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работа в мрежа и разрешаване на жалби.</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проверки на място (пътни, дневни и нощувки).</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ваучерна система по Мярка 1 на ПРСР.</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27"/>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последваща оценка на ПРСР (2007-13).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Style w:val="DefaultParagraphFont"/>
                <w:rFonts w:ascii="Times New Roman" w:eastAsia="Times New Roman" w:hAnsi="Times New Roman" w:cs="Times New Roman"/>
                <w:i/>
                <w:iCs/>
                <w:szCs w:val="24"/>
              </w:rPr>
              <w:t>Приложение 2</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Style w:val="DefaultParagraphFont"/>
                <w:rFonts w:ascii="Times New Roman" w:eastAsia="Times New Roman" w:hAnsi="Times New Roman" w:cs="Times New Roman"/>
                <w:i/>
                <w:iCs/>
                <w:szCs w:val="24"/>
              </w:rPr>
              <w:t>Приложение 3</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Бюджет в размер на 37 493 274 евро </w:t>
            </w:r>
            <w:r>
              <w:rPr>
                <w:rStyle w:val="DefaultParagraphFont"/>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numPr>
                <w:ilvl w:val="0"/>
                <w:numId w:val="52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РСР - УО на ПРСР;</w:t>
            </w:r>
          </w:p>
          <w:p>
            <w:pPr>
              <w:numPr>
                <w:ilvl w:val="0"/>
                <w:numId w:val="5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0" w:name="_Toc256000230"/>
      <w:r>
        <w:t>Списък на действията за привличане на партньорите</w:t>
      </w:r>
      <w:bookmarkEnd w:id="230"/>
    </w:p>
    <w:p>
      <w:pPr>
        <w:pStyle w:val="Heading2"/>
      </w:pPr>
      <w:bookmarkStart w:id="231" w:name="_Toc256000231"/>
      <w:r>
        <w:t>16.1.1.Създаване на Тематична работна група (ТРГ) за разработване на ПРСР(2014-2020) с участие на партньорите</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4" w:name="_Toc256000234"/>
      <w:r>
        <w:rPr>
          <w:b w:val="0"/>
        </w:rPr>
        <w:t>16.1.2. Провеждане на 7 заседания на ТРГ.</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с партньорите на: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3.проекта на анализ и стратегия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5.първи вариант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7" w:name="_Toc256000237"/>
      <w:r>
        <w:rPr>
          <w:b w:val="0"/>
        </w:rPr>
        <w:t>16.1.3. Сформиране на фокус групи</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0" w:name="_Toc256000240"/>
      <w:r>
        <w:rPr>
          <w:b w:val="0"/>
        </w:rPr>
        <w:t>16.1.4.Привличане на партньори със съвещателен глас</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3" w:name="_Toc256000243"/>
      <w:r>
        <w:rPr>
          <w:b w:val="0"/>
        </w:rPr>
        <w:t>16.1.5.Представяне на ПРСР на три заседания на КН</w:t>
      </w:r>
      <w:bookmarkEnd w:id="243"/>
    </w:p>
    <w:p>
      <w:pPr>
        <w:pStyle w:val="Heading3"/>
        <w:jc w:val="left"/>
        <w:rPr>
          <w:b w:val="0"/>
        </w:rPr>
      </w:pPr>
      <w:bookmarkStart w:id="244" w:name="_Toc256000244"/>
      <w:r>
        <w:rPr>
          <w:b w:val="0"/>
        </w:rPr>
        <w:t>Предмет на съответната консултация</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1.Обсъждане на анализа и стратегията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2.Обсъждане на проекта на ПРСР(2014-2020)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5" w:name="_Toc256000245"/>
      <w:r>
        <w:rPr>
          <w:b w:val="0"/>
        </w:rPr>
        <w:t>Обобщение на резултатите</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 проект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6" w:name="_Toc256000246"/>
      <w:r>
        <w:rPr>
          <w:b w:val="0"/>
        </w:rPr>
        <w:t>16.1.6.Достъп до информация, прозрачност</w:t>
      </w:r>
      <w:bookmarkEnd w:id="246"/>
    </w:p>
    <w:p>
      <w:pPr>
        <w:pStyle w:val="Heading3"/>
        <w:jc w:val="left"/>
        <w:rPr>
          <w:b w:val="0"/>
        </w:rPr>
      </w:pPr>
      <w:bookmarkStart w:id="247" w:name="_Toc256000247"/>
      <w:r>
        <w:rPr>
          <w:b w:val="0"/>
        </w:rPr>
        <w:t>Предмет на съответната консултация</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8" w:name="_Toc256000248"/>
      <w:r>
        <w:rPr>
          <w:b w:val="0"/>
        </w:rPr>
        <w:t>Обобщение на резултатите</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9" w:name="_Toc256000249"/>
      <w:r>
        <w:rPr>
          <w:b w:val="0"/>
        </w:rPr>
        <w:t>(Незадължително) разяснения или допълнителна информация за допълване на списъка с действия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Style w:val="DefaultParagraphFont"/>
                <w:rFonts w:ascii="Times New Roman" w:eastAsia="Times New Roman" w:hAnsi="Times New Roman" w:cs="Times New Roman"/>
                <w:b/>
                <w:bCs/>
                <w:szCs w:val="24"/>
              </w:rPr>
              <w:t>Тематична работна група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Style w:val="DefaultParagraphFont"/>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2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3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3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статистически институт;</w:t>
            </w:r>
          </w:p>
          <w:p>
            <w:pPr>
              <w:numPr>
                <w:ilvl w:val="0"/>
                <w:numId w:val="53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Комисията за защита от дискриминация;</w:t>
            </w:r>
          </w:p>
          <w:p>
            <w:pPr>
              <w:numPr>
                <w:ilvl w:val="0"/>
                <w:numId w:val="53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Регионалните съвети за развитие в районите от ниво 2;</w:t>
            </w:r>
          </w:p>
          <w:p>
            <w:pPr>
              <w:numPr>
                <w:ilvl w:val="0"/>
                <w:numId w:val="5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3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3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Националното сдружение на общините в Република България;</w:t>
            </w:r>
          </w:p>
          <w:p>
            <w:pPr>
              <w:numPr>
                <w:ilvl w:val="0"/>
                <w:numId w:val="53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 общност;</w:t>
            </w:r>
          </w:p>
          <w:p>
            <w:pPr>
              <w:numPr>
                <w:ilvl w:val="0"/>
                <w:numId w:val="54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Неправителствени организации.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определи членовете на ТРГ, съгласно Механизма и Методиката;</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поименна заповед на членовете на ТРГ;</w:t>
            </w:r>
          </w:p>
          <w:p>
            <w:pPr>
              <w:numPr>
                <w:ilvl w:val="0"/>
                <w:numId w:val="5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Правила за организацията и дейността на ТРГ.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0" w:name="_Toc256000250"/>
      <w:r>
        <w:t>Национална мрежа за селските райони</w:t>
      </w:r>
      <w:bookmarkEnd w:id="250"/>
    </w:p>
    <w:p>
      <w:pPr>
        <w:pStyle w:val="Heading2"/>
      </w:pPr>
      <w:bookmarkStart w:id="251" w:name="_Toc256000251"/>
      <w:r>
        <w:t>Процедура и график за създаването на националната мрежа за селските райони („НМСР“)</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Национална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Министерството на земеделието и храните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2" w:name="_Toc256000252"/>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 Администрация: Министерството на земеделието и храните,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3" w:name="_Toc256000253"/>
      <w:r>
        <w:t>Обобщено описание на основните категории дейности на националната мрежа за селските райони в съответствие с целите на програмата</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за подхода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ЗУ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Style w:val="DefaultParagraphFont"/>
                <w:rFonts w:ascii="Times New Roman" w:eastAsia="Times New Roman" w:hAnsi="Times New Roman" w:cs="Times New Roman"/>
                <w:b/>
                <w:bCs/>
                <w:i/>
                <w:iCs/>
                <w:szCs w:val="24"/>
              </w:rPr>
              <w:t>Януари-февруари 2015 г.</w:t>
            </w:r>
            <w:r>
              <w:rPr>
                <w:rStyle w:val="DefaultParagraphFont"/>
                <w:rFonts w:ascii="Times New Roman" w:eastAsia="Times New Roman" w:hAnsi="Times New Roman" w:cs="Times New Roman"/>
                <w:b/>
                <w:bCs/>
                <w:szCs w:val="24"/>
              </w:rPr>
              <w:t xml:space="preserve">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w:t>
            </w:r>
            <w:r>
              <w:rPr>
                <w:rStyle w:val="DefaultParagraphFont"/>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Style w:val="DefaultParagraphFont"/>
                <w:rFonts w:ascii="Times New Roman" w:eastAsia="Times New Roman" w:hAnsi="Times New Roman" w:cs="Times New Roman"/>
                <w:b/>
                <w:bCs/>
                <w:i/>
                <w:iCs/>
                <w:szCs w:val="24"/>
              </w:rPr>
              <w:t>Февруари-  декември 2015 г.</w:t>
            </w:r>
            <w:r>
              <w:rPr>
                <w:rStyle w:val="DefaultParagraphFont"/>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3. *Сключен договор с избрания изпълнител  -  </w:t>
            </w:r>
            <w:r>
              <w:rPr>
                <w:rStyle w:val="DefaultParagraphFont"/>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Style w:val="DefaultParagraphFont"/>
                <w:rFonts w:ascii="Times New Roman" w:eastAsia="Times New Roman" w:hAnsi="Times New Roman" w:cs="Times New Roman"/>
                <w:b/>
                <w:bCs/>
                <w:szCs w:val="24"/>
              </w:rPr>
              <w:t xml:space="preserve"> -  Дирекция „Обществени поръчки“ на МЗХ;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4. Създадена Комисия за управление и контрол на проекта   </w:t>
            </w:r>
            <w:r>
              <w:rPr>
                <w:rStyle w:val="DefaultParagraphFont"/>
                <w:rFonts w:ascii="Times New Roman" w:eastAsia="Times New Roman" w:hAnsi="Times New Roman" w:cs="Times New Roman"/>
                <w:b/>
                <w:bCs/>
                <w:i/>
                <w:iCs/>
                <w:szCs w:val="24"/>
              </w:rPr>
              <w:t>-  До края на месец януари 2016 г.</w:t>
            </w:r>
            <w:r>
              <w:rPr>
                <w:rStyle w:val="DefaultParagraphFont"/>
                <w:rFonts w:ascii="Times New Roman" w:eastAsia="Times New Roman" w:hAnsi="Times New Roman" w:cs="Times New Roman"/>
                <w:b/>
                <w:bCs/>
                <w:szCs w:val="24"/>
              </w:rPr>
              <w:t>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Style w:val="DefaultParagraphFont"/>
                <w:rFonts w:ascii="Times New Roman" w:eastAsia="Times New Roman" w:hAnsi="Times New Roman" w:cs="Times New Roman"/>
                <w:b/>
                <w:bCs/>
                <w:i/>
                <w:iCs/>
                <w:szCs w:val="24"/>
              </w:rPr>
              <w:t xml:space="preserve">След края на месец януари 2016 г.  </w:t>
            </w:r>
            <w:r>
              <w:rPr>
                <w:rStyle w:val="DefaultParagraphFont"/>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r>
              <w:rPr>
                <w:rStyle w:val="DefaultParagraphFont"/>
                <w:rFonts w:ascii="Times New Roman" w:eastAsia="Times New Roman" w:hAnsi="Times New Roman" w:cs="Times New Roman"/>
                <w:b/>
                <w:bCs/>
                <w:i/>
                <w:iCs/>
                <w:szCs w:val="24"/>
              </w:rPr>
              <w:t>Бележка:</w:t>
            </w:r>
            <w:r>
              <w:rPr>
                <w:rStyle w:val="DefaultParagraphFont"/>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Style w:val="DefaultParagraphFont"/>
                <w:rFonts w:ascii="Times New Roman" w:eastAsia="Times New Roman" w:hAnsi="Times New Roman" w:cs="Times New Roman"/>
                <w:szCs w:val="24"/>
              </w:rPr>
              <w:t xml:space="preserve"> и да влезе в сила не по-рано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Комуникация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Тематичните работни групи работят на </w:t>
            </w:r>
            <w:r>
              <w:rPr>
                <w:rStyle w:val="DefaultParagraphFont"/>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Цели и дейности на Плана за действие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10" name=""/>
                  <wp:cNvGraphicFramePr/>
                  <a:graphic xmlns:a="http://schemas.openxmlformats.org/drawingml/2006/main">
                    <a:graphicData uri="http://schemas.openxmlformats.org/drawingml/2006/picture">
                      <pic:pic xmlns:pic="http://schemas.openxmlformats.org/drawingml/2006/picture">
                        <pic:nvPicPr>
                          <pic:cNvPr id="564934034" name=""/>
                          <pic:cNvPicPr/>
                        </pic:nvPicPr>
                        <pic:blipFill>
                          <a:blip xmlns:r="http://schemas.openxmlformats.org/officeDocument/2006/relationships" r:embed="rId20"/>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4" w:name="_Toc256000254"/>
      <w:r>
        <w:t>Налични ресурси за създаването и привеждането в действие на националната мрежа за селските райони</w:t>
      </w:r>
      <w:bookmarkEnd w:id="2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Бюджет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5" w:name="_Toc256000255"/>
      <w:r>
        <w:t>Предварителна оценка на доказуемостта и на възможността за контрол, както и на риска от грешки</w:t>
      </w:r>
      <w:bookmarkEnd w:id="255"/>
    </w:p>
    <w:p>
      <w:pPr>
        <w:pStyle w:val="Heading2"/>
      </w:pPr>
      <w:bookmarkStart w:id="256" w:name="_Toc256000256"/>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Оценка на риска</w:t>
            </w:r>
          </w:p>
          <w:p>
            <w:pPr>
              <w:numPr>
                <w:ilvl w:val="0"/>
                <w:numId w:val="54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Разумност на предложените разходи при частните бенефициенти;</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обществени поръчки за публичните бенефициенти;</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поети дългосрочни ангажименти;</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на кандидатите в случаите на МСП;</w:t>
            </w:r>
          </w:p>
          <w:p>
            <w:pPr>
              <w:numPr>
                <w:ilvl w:val="0"/>
                <w:numId w:val="5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Изкуствено създадени условия;</w:t>
            </w:r>
          </w:p>
          <w:p>
            <w:pPr>
              <w:numPr>
                <w:ilvl w:val="0"/>
                <w:numId w:val="5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минималните помощи.</w:t>
            </w:r>
          </w:p>
          <w:p>
            <w:pPr>
              <w:numPr>
                <w:ilvl w:val="0"/>
                <w:numId w:val="54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сочи, че съществува риск от:</w:t>
            </w:r>
          </w:p>
          <w:p>
            <w:pPr>
              <w:numPr>
                <w:ilvl w:val="0"/>
                <w:numId w:val="5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Мерки за минимизиране на риска</w:t>
            </w:r>
          </w:p>
          <w:p>
            <w:pPr>
              <w:numPr>
                <w:ilvl w:val="0"/>
                <w:numId w:val="54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на РА за извършване на проверки в областта на обществените поръчки. Дефиниране в нормативната уредба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4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numPr>
                <w:ilvl w:val="0"/>
                <w:numId w:val="54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Обща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7" w:name="_Toc256000257"/>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1 „Трансфер на знания и действия за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потвърждаващо адекватността и точността на изчисленията</w:t>
            </w:r>
            <w:r>
              <w:rPr>
                <w:rStyle w:val="DefaultParagraphFont"/>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8" w:name="_Toc256000258"/>
      <w:r>
        <w:t>Преходни условия</w:t>
      </w:r>
      <w:bookmarkEnd w:id="258"/>
    </w:p>
    <w:p>
      <w:pPr>
        <w:pStyle w:val="Heading2"/>
      </w:pPr>
      <w:bookmarkStart w:id="259" w:name="_Toc256000259"/>
      <w:r>
        <w:t>Описание на преходните условия по мерки</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преходните условия по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4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5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142 „Създаване на групи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5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214 „Агроекологични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5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0" w:name="_Toc256000260"/>
      <w:r>
        <w:t>Ориентировъчна таблица за пренос на средства</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1" w:name="_Toc256000261"/>
      <w:r>
        <w:t>Тематични подпрограми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Heading1"/>
        <w:rPr>
          <w:b w:val="0"/>
          <w:i w:val="0"/>
        </w:rPr>
      </w:pPr>
      <w:bookmarkStart w:id="262" w:name="_Toc256000262"/>
      <w:r>
        <w:rPr>
          <w:b w:val="0"/>
          <w:i w:val="0"/>
        </w:rPr>
        <w:t>Документи</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Ares(2016)4916587</w:t>
            </w:r>
          </w:p>
        </w:tc>
        <w:tc>
          <w:tcPr>
            <w:tcW w:w="2000" w:type="pct"/>
            <w:shd w:val="clear" w:color="auto" w:fill="FFFFFF"/>
            <w:noWrap w:val="0"/>
            <w:tcMar>
              <w:top w:w="60" w:type="dxa"/>
            </w:tcMar>
            <w:vAlign w:val="top"/>
          </w:tcPr>
          <w:p>
            <w:pPr>
              <w:jc w:val="left"/>
              <w:rPr>
                <w:b w:val="0"/>
                <w:i w:val="0"/>
                <w:sz w:val="16"/>
              </w:rPr>
            </w:pPr>
            <w:r>
              <w:rPr>
                <w:b w:val="0"/>
                <w:i w:val="0"/>
                <w:sz w:val="16"/>
              </w:rPr>
              <w:t>3261131227</w:t>
            </w:r>
          </w:p>
        </w:tc>
        <w:tc>
          <w:tcPr>
            <w:tcW w:w="2000" w:type="pct"/>
            <w:shd w:val="clear" w:color="auto" w:fill="FFFFFF"/>
            <w:noWrap w:val="0"/>
            <w:tcMar>
              <w:top w:w="60" w:type="dxa"/>
            </w:tcMar>
            <w:vAlign w:val="top"/>
          </w:tcPr>
          <w:p>
            <w:pPr>
              <w:jc w:val="left"/>
              <w:rPr>
                <w:b w:val="0"/>
                <w:i w:val="0"/>
                <w:sz w:val="16"/>
              </w:rPr>
            </w:pPr>
            <w:r>
              <w:rPr>
                <w:b w:val="0"/>
                <w:i w:val="0"/>
                <w:sz w:val="16"/>
              </w:rPr>
              <w:t>Annexes_RDP_2014_2020_07_06 2016_final.docx</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Ares(2016)4916587</w:t>
            </w:r>
          </w:p>
        </w:tc>
        <w:tc>
          <w:tcPr>
            <w:tcW w:w="2000" w:type="pct"/>
            <w:shd w:val="clear" w:color="auto" w:fill="FFFFFF"/>
            <w:noWrap w:val="0"/>
            <w:tcMar>
              <w:top w:w="60" w:type="dxa"/>
            </w:tcMar>
            <w:vAlign w:val="top"/>
          </w:tcPr>
          <w:p>
            <w:pPr>
              <w:jc w:val="left"/>
              <w:rPr>
                <w:b w:val="0"/>
                <w:i w:val="0"/>
                <w:sz w:val="16"/>
              </w:rPr>
            </w:pPr>
            <w:r>
              <w:rPr>
                <w:b w:val="0"/>
                <w:i w:val="0"/>
                <w:sz w:val="16"/>
              </w:rPr>
              <w:t>2974199443</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stopanstva-2015-1-20-razpred finans sredstva.xls</w:t>
            </w:r>
          </w:p>
          <w:p>
            <w:pPr>
              <w:jc w:val="left"/>
              <w:rPr>
                <w:b w:val="0"/>
                <w:i w:val="0"/>
                <w:sz w:val="16"/>
              </w:rPr>
            </w:pPr>
            <w:r>
              <w:rPr>
                <w:b w:val="0"/>
                <w:i w:val="0"/>
                <w:sz w:val="16"/>
              </w:rPr>
              <w:t>Tematichna+podprograma+za+malki+stopanstva-2016-06-08.doc</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Ares(2016)4916587</w:t>
            </w:r>
          </w:p>
        </w:tc>
        <w:tc>
          <w:tcPr>
            <w:tcW w:w="2000" w:type="pct"/>
            <w:shd w:val="clear" w:color="auto" w:fill="FFFFFF"/>
            <w:noWrap w:val="0"/>
            <w:tcMar>
              <w:top w:w="60" w:type="dxa"/>
            </w:tcMar>
            <w:vAlign w:val="top"/>
          </w:tcPr>
          <w:p>
            <w:pPr>
              <w:jc w:val="left"/>
              <w:rPr>
                <w:b w:val="0"/>
                <w:i w:val="0"/>
                <w:sz w:val="16"/>
              </w:rPr>
            </w:pPr>
            <w:r>
              <w:rPr>
                <w:b w:val="0"/>
                <w:i w:val="0"/>
                <w:sz w:val="16"/>
              </w:rPr>
              <w:t>3242156160</w:t>
            </w:r>
          </w:p>
        </w:tc>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3_FINAL Ex ante report BG RDP 2014-2020_BG (2).doc</w:t>
            </w:r>
          </w:p>
          <w:p>
            <w:pPr>
              <w:jc w:val="left"/>
              <w:rPr>
                <w:b w:val="0"/>
                <w:i w:val="0"/>
                <w:sz w:val="16"/>
              </w:rPr>
            </w:pPr>
            <w:r>
              <w:rPr>
                <w:b w:val="0"/>
                <w:i w:val="0"/>
                <w:sz w:val="16"/>
              </w:rPr>
              <w:t>Приложение към Раздел 3_SEA_RDP.pdf</w:t>
            </w:r>
          </w:p>
          <w:p>
            <w:pPr>
              <w:jc w:val="left"/>
              <w:rPr>
                <w:b w:val="0"/>
                <w:i w:val="0"/>
                <w:sz w:val="16"/>
              </w:rPr>
            </w:pPr>
            <w:r>
              <w:rPr>
                <w:b w:val="0"/>
                <w:i w:val="0"/>
                <w:sz w:val="16"/>
              </w:rPr>
              <w:t>Приложение към раздел 3_Информация за проведените консултации с обществеността  по опазване на околната среда (1).pdf</w:t>
            </w:r>
          </w:p>
          <w:p>
            <w:pPr>
              <w:jc w:val="left"/>
              <w:rPr>
                <w:b w:val="0"/>
                <w:i w:val="0"/>
                <w:sz w:val="16"/>
              </w:rPr>
            </w:pPr>
            <w:r>
              <w:rPr>
                <w:b w:val="0"/>
                <w:i w:val="0"/>
                <w:sz w:val="16"/>
              </w:rPr>
              <w:t>Приложение към раздел 3_Нетехническо резюме на информацията от Доклада по екологична оценка (1).pdf</w:t>
            </w:r>
          </w:p>
          <w:p>
            <w:pPr>
              <w:jc w:val="left"/>
              <w:rPr>
                <w:b w:val="0"/>
                <w:i w:val="0"/>
                <w:sz w:val="16"/>
              </w:rPr>
            </w:pPr>
            <w:r>
              <w:rPr>
                <w:b w:val="0"/>
                <w:i w:val="0"/>
                <w:sz w:val="16"/>
              </w:rPr>
              <w:t>Приложение към раздел 3_Обобщена справка за съответствието на ПРСР с постановеното в Становището на МОСВ за ЕО (1).docx</w:t>
            </w:r>
          </w:p>
          <w:p>
            <w:pPr>
              <w:jc w:val="left"/>
              <w:rPr>
                <w:b w:val="0"/>
                <w:i w:val="0"/>
                <w:sz w:val="16"/>
              </w:rPr>
            </w:pPr>
            <w:r>
              <w:rPr>
                <w:b w:val="0"/>
                <w:i w:val="0"/>
                <w:sz w:val="16"/>
              </w:rPr>
              <w:t>Приложение към Раздел 3_Преглед на препоръките_ резюме (1).doc</w:t>
            </w:r>
          </w:p>
          <w:p>
            <w:pPr>
              <w:jc w:val="left"/>
              <w:rPr>
                <w:b w:val="0"/>
                <w:i w:val="0"/>
                <w:sz w:val="16"/>
              </w:rPr>
            </w:pPr>
            <w:r>
              <w:rPr>
                <w:b w:val="0"/>
                <w:i w:val="0"/>
                <w:sz w:val="16"/>
              </w:rPr>
              <w:t>Приложение към Раздел 3_Таблица с препоръките от предварителната оценка (1).doc</w:t>
            </w:r>
          </w:p>
        </w:tc>
        <w:tc>
          <w:tcPr>
            <w:tcW w:w="2000" w:type="pct"/>
            <w:shd w:val="clear" w:color="auto" w:fill="FFFFFF"/>
            <w:noWrap w:val="0"/>
            <w:tcMar>
              <w:top w:w="60" w:type="dxa"/>
            </w:tcMar>
            <w:vAlign w:val="top"/>
          </w:tcPr>
          <w:p>
            <w:pPr>
              <w:jc w:val="left"/>
              <w:rPr>
                <w:b w:val="0"/>
                <w:i w:val="0"/>
                <w:sz w:val="16"/>
              </w:rPr>
            </w:pPr>
            <w:r>
              <w:rPr>
                <w:b w:val="0"/>
                <w:i w:val="0"/>
                <w:sz w:val="16"/>
              </w:rPr>
              <w:t>01-09-2016</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Bold r:id="rId1" w:fontKey="{F62EE07F-4B69-4F71-9CAF-76FDB18A9D49}"/>
    <w:embedItalic r:id="rId2" w:fontKey="{DFB0BEEF-1BE0-4EF0-B60F-7EDE5D2877F9}"/>
    <w:embedBoldItalic r:id="rId3" w:fontKey="{E0C7BD5B-D3AD-49CD-B1BB-8710B7122E67}"/>
  </w:font>
  <w:font w:name="Symbol">
    <w:panose1 w:val="05050102010706020507"/>
    <w:charset w:val="02"/>
    <w:family w:val="roman"/>
    <w:pitch w:val="variable"/>
    <w:sig w:usb0="00000000" w:usb1="10000000" w:usb2="00000000" w:usb3="00000000" w:csb0="80000000" w:csb1="00000000"/>
    <w:embedRegular r:id="rId4" w:fontKey="{4B30AD8C-5001-436B-B48A-81F255B63ED7}"/>
  </w:font>
  <w:font w:name="Arial">
    <w:panose1 w:val="020B0604020202020204"/>
    <w:charset w:val="00"/>
    <w:family w:val="swiss"/>
    <w:pitch w:val="variable"/>
    <w:sig w:usb0="E0002AFF" w:usb1="C0007843" w:usb2="00000009" w:usb3="00000000" w:csb0="000001FF" w:csb1="00000000"/>
    <w:embedBold r:id="rId5" w:fontKey="{21A562B1-86EB-4EF8-A894-CFA9F0751B64}"/>
    <w:embedItalic r:id="rId6" w:fontKey="{F78AF2EF-5596-46FE-95B6-946AAE29B824}"/>
  </w:font>
  <w:font w:name="Calibri">
    <w:panose1 w:val="020F0502020204030204"/>
    <w:charset w:val="00"/>
    <w:family w:val="swiss"/>
    <w:pitch w:val="variable"/>
    <w:sig w:usb0="E10002FF" w:usb1="4000ACFF" w:usb2="00000009" w:usb3="00000000" w:csb0="0000019F" w:csb1="00000000"/>
    <w:embedRegular r:id="rId7" w:fontKey="{A82B8F81-798C-4C21-B3A5-811C91E5E97E}"/>
  </w:font>
  <w:font w:name="Tahoma">
    <w:panose1 w:val="020B0604030504040204"/>
    <w:charset w:val="00"/>
    <w:family w:val="swiss"/>
    <w:pitch w:val="variable"/>
    <w:sig w:usb0="E1002EFF" w:usb1="C000605B" w:usb2="00000029" w:usb3="00000000" w:csb0="000101FF" w:csb1="00000000"/>
    <w:embedRegular r:id="rId8" w:fontKey="{6BE583FE-57B5-462A-9594-56533F6B0236}"/>
  </w:font>
  <w:font w:name="Courier New">
    <w:panose1 w:val="02070309020205020404"/>
    <w:charset w:val="00"/>
    <w:family w:val="modern"/>
    <w:pitch w:val="fixed"/>
    <w:sig w:usb0="E0002AFF" w:usb1="C0007843" w:usb2="00000009" w:usb3="00000000" w:csb0="000001FF" w:csb1="00000000"/>
    <w:embedRegular r:id="rId9" w:fontKey="{9A54D873-5E02-438A-BEE6-F5873FEBF4C0}"/>
  </w:font>
  <w:font w:name="Cambria Math">
    <w:panose1 w:val="02040503050406030204"/>
    <w:charset w:val="00"/>
    <w:family w:val="roman"/>
    <w:pitch w:val="variable"/>
    <w:sig w:usb0="E00002FF" w:usb1="420024FF" w:usb2="00000000" w:usb3="00000000" w:csb0="0000019F" w:csb1="00000000"/>
    <w:embedRegular r:id="rId10" w:fontKey="{263ED540-FB90-48AB-BF35-783A49EB3D1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835</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multilevel"/>
    <w:tmpl w:val="722304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22304E0"/>
    <w:multiLevelType w:val="hybridMultilevel"/>
    <w:tmpl w:val="722304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multilevel"/>
    <w:tmpl w:val="7223054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2">
    <w:nsid w:val="72230545"/>
    <w:multiLevelType w:val="hybridMultilevel"/>
    <w:tmpl w:val="7223054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hybridMultilevel"/>
    <w:tmpl w:val="722305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hybridMultilevel"/>
    <w:tmpl w:val="722305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multilevel"/>
    <w:tmpl w:val="7223054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hybridMultilevel"/>
    <w:tmpl w:val="722305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hybridMultilevel"/>
    <w:tmpl w:val="7223055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multilevel"/>
    <w:tmpl w:val="7223055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5">
    <w:nsid w:val="72230552"/>
    <w:multiLevelType w:val="multilevel"/>
    <w:tmpl w:val="722305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6">
    <w:nsid w:val="72230553"/>
    <w:multiLevelType w:val="multilevel"/>
    <w:tmpl w:val="722305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multilevel"/>
    <w:tmpl w:val="7223055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multilevel"/>
    <w:tmpl w:val="722305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multilevel"/>
    <w:tmpl w:val="722305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hybridMultilevel"/>
    <w:tmpl w:val="722305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multilevel"/>
    <w:tmpl w:val="722305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multilevel"/>
    <w:tmpl w:val="722305B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multilevel"/>
    <w:tmpl w:val="722305C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0">
    <w:nsid w:val="722305C5"/>
    <w:multiLevelType w:val="hybridMultilevel"/>
    <w:tmpl w:val="722305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multilevel"/>
    <w:tmpl w:val="722305C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multilevel"/>
    <w:tmpl w:val="722305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multilevel"/>
    <w:tmpl w:val="722305D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multilevel"/>
    <w:tmpl w:val="722305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multilevel"/>
    <w:tmpl w:val="722305E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multilevel"/>
    <w:tmpl w:val="722305F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multilevel"/>
    <w:tmpl w:val="722305F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multilevel"/>
    <w:tmpl w:val="7223065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8">
    <w:nsid w:val="72230659"/>
    <w:multiLevelType w:val="multilevel"/>
    <w:tmpl w:val="722306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multilevel"/>
    <w:tmpl w:val="722306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multilevel"/>
    <w:tmpl w:val="722306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multilevel"/>
    <w:tmpl w:val="722306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multilevel"/>
    <w:tmpl w:val="722306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multilevel"/>
    <w:tmpl w:val="7223069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multilevel"/>
    <w:tmpl w:val="722306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6">
    <w:nsid w:val="7223069D"/>
    <w:multiLevelType w:val="hybridMultilevel"/>
    <w:tmpl w:val="7223069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multilevel"/>
    <w:tmpl w:val="722306A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1">
    <w:nsid w:val="722306A2"/>
    <w:multiLevelType w:val="hybridMultilevel"/>
    <w:tmpl w:val="722306A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multilevel"/>
    <w:tmpl w:val="722306B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multilevel"/>
    <w:tmpl w:val="722306C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7">
    <w:nsid w:val="722306D0"/>
    <w:multiLevelType w:val="multilevel"/>
    <w:tmpl w:val="722306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multilevel"/>
    <w:tmpl w:val="722306D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9">
    <w:nsid w:val="722306D2"/>
    <w:multiLevelType w:val="multilevel"/>
    <w:tmpl w:val="722306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multilevel"/>
    <w:tmpl w:val="722306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multilevel"/>
    <w:tmpl w:val="722306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multilevel"/>
    <w:tmpl w:val="722306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jpeg" /><Relationship Id="rId2" Type="http://schemas.openxmlformats.org/officeDocument/2006/relationships/webSettings" Target="webSettings.xml" /><Relationship Id="rId20" Type="http://schemas.openxmlformats.org/officeDocument/2006/relationships/image" Target="media/image10.jpeg" /><Relationship Id="rId21" Type="http://schemas.openxmlformats.org/officeDocument/2006/relationships/numbering" Target="numbering.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835</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